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BD557" w14:textId="77777777" w:rsidR="00271FDB" w:rsidRDefault="00271FDB">
      <w:r>
        <w:rPr>
          <w:noProof/>
          <w:lang w:val="en-ZA" w:eastAsia="en-ZA"/>
        </w:rPr>
        <w:drawing>
          <wp:anchor distT="0" distB="0" distL="114300" distR="114300" simplePos="0" relativeHeight="251659264" behindDoc="0" locked="0" layoutInCell="1" allowOverlap="1" wp14:anchorId="29D40E33" wp14:editId="444D377C">
            <wp:simplePos x="0" y="0"/>
            <wp:positionH relativeFrom="page">
              <wp:align>left</wp:align>
            </wp:positionH>
            <wp:positionV relativeFrom="paragraph">
              <wp:posOffset>-881380</wp:posOffset>
            </wp:positionV>
            <wp:extent cx="7753350" cy="1149516"/>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3350" cy="11495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43CCE" w14:textId="77777777" w:rsidR="00271FDB" w:rsidRDefault="00271FDB" w:rsidP="00271FDB"/>
    <w:p w14:paraId="568D6847" w14:textId="4D41857C" w:rsidR="00271FDB" w:rsidRPr="00271FDB" w:rsidRDefault="00271FDB" w:rsidP="00271FDB">
      <w:pPr>
        <w:jc w:val="center"/>
        <w:rPr>
          <w:b/>
          <w:sz w:val="32"/>
          <w:szCs w:val="32"/>
          <w:lang w:val="en-ZA"/>
        </w:rPr>
      </w:pPr>
      <w:r>
        <w:tab/>
      </w:r>
      <w:r w:rsidR="0017237B">
        <w:rPr>
          <w:b/>
          <w:sz w:val="32"/>
          <w:szCs w:val="32"/>
          <w:lang w:val="en-ZA"/>
        </w:rPr>
        <w:t>NeST Africa engagements in HLM2 of GPEDC</w:t>
      </w:r>
    </w:p>
    <w:p w14:paraId="6839994C" w14:textId="37E11314" w:rsidR="006B3EC0" w:rsidRPr="000517C9" w:rsidRDefault="0017237B" w:rsidP="000517C9">
      <w:pPr>
        <w:jc w:val="center"/>
        <w:rPr>
          <w:b/>
          <w:sz w:val="32"/>
          <w:szCs w:val="32"/>
          <w:lang w:val="en-ZA"/>
        </w:rPr>
      </w:pPr>
      <w:r>
        <w:rPr>
          <w:b/>
          <w:sz w:val="32"/>
          <w:szCs w:val="32"/>
          <w:lang w:val="en-ZA"/>
        </w:rPr>
        <w:t>Nairobi, 29</w:t>
      </w:r>
      <w:r w:rsidR="00271FDB" w:rsidRPr="00271FDB">
        <w:rPr>
          <w:b/>
          <w:sz w:val="32"/>
          <w:szCs w:val="32"/>
          <w:lang w:val="en-ZA"/>
        </w:rPr>
        <w:t xml:space="preserve"> Nov- 1 Dec</w:t>
      </w:r>
      <w:r>
        <w:rPr>
          <w:b/>
          <w:sz w:val="32"/>
          <w:szCs w:val="32"/>
          <w:lang w:val="en-ZA"/>
        </w:rPr>
        <w:t xml:space="preserve"> 2016</w:t>
      </w:r>
      <w:bookmarkStart w:id="0" w:name="_GoBack"/>
      <w:bookmarkEnd w:id="0"/>
    </w:p>
    <w:tbl>
      <w:tblPr>
        <w:tblStyle w:val="TableGrid"/>
        <w:tblW w:w="11164" w:type="dxa"/>
        <w:tblInd w:w="-1113" w:type="dxa"/>
        <w:tblLook w:val="04A0" w:firstRow="1" w:lastRow="0" w:firstColumn="1" w:lastColumn="0" w:noHBand="0" w:noVBand="1"/>
      </w:tblPr>
      <w:tblGrid>
        <w:gridCol w:w="824"/>
        <w:gridCol w:w="10340"/>
      </w:tblGrid>
      <w:tr w:rsidR="00746F5B" w14:paraId="0AC870BF" w14:textId="77777777" w:rsidTr="00582929">
        <w:trPr>
          <w:trHeight w:val="258"/>
        </w:trPr>
        <w:tc>
          <w:tcPr>
            <w:tcW w:w="824" w:type="dxa"/>
            <w:shd w:val="clear" w:color="auto" w:fill="70AD47" w:themeFill="accent6"/>
          </w:tcPr>
          <w:p w14:paraId="56FFC79F" w14:textId="77777777" w:rsidR="00746F5B" w:rsidRPr="00B574F9" w:rsidRDefault="00746F5B" w:rsidP="00746F5B">
            <w:pPr>
              <w:tabs>
                <w:tab w:val="left" w:pos="2340"/>
              </w:tabs>
              <w:jc w:val="both"/>
              <w:rPr>
                <w:b/>
                <w:lang w:val="en-ZA"/>
              </w:rPr>
            </w:pPr>
            <w:r w:rsidRPr="00B574F9">
              <w:rPr>
                <w:b/>
                <w:lang w:val="en-ZA"/>
              </w:rPr>
              <w:t>DATE</w:t>
            </w:r>
          </w:p>
        </w:tc>
        <w:tc>
          <w:tcPr>
            <w:tcW w:w="10340" w:type="dxa"/>
            <w:shd w:val="clear" w:color="auto" w:fill="70AD47" w:themeFill="accent6"/>
          </w:tcPr>
          <w:p w14:paraId="2D9A129A" w14:textId="77777777" w:rsidR="00746F5B" w:rsidRPr="00B574F9" w:rsidRDefault="00746F5B" w:rsidP="00746F5B">
            <w:pPr>
              <w:tabs>
                <w:tab w:val="left" w:pos="2340"/>
              </w:tabs>
              <w:jc w:val="both"/>
              <w:rPr>
                <w:b/>
                <w:lang w:val="en-ZA"/>
              </w:rPr>
            </w:pPr>
            <w:r w:rsidRPr="00B574F9">
              <w:rPr>
                <w:b/>
                <w:lang w:val="en-ZA"/>
              </w:rPr>
              <w:t>EVENT</w:t>
            </w:r>
          </w:p>
        </w:tc>
      </w:tr>
      <w:tr w:rsidR="00D16EA3" w14:paraId="029BA5A4" w14:textId="77777777" w:rsidTr="00826057">
        <w:trPr>
          <w:trHeight w:val="172"/>
        </w:trPr>
        <w:tc>
          <w:tcPr>
            <w:tcW w:w="824" w:type="dxa"/>
            <w:vMerge w:val="restart"/>
            <w:shd w:val="clear" w:color="auto" w:fill="70AD47" w:themeFill="accent6"/>
          </w:tcPr>
          <w:p w14:paraId="4699F7D9" w14:textId="77777777" w:rsidR="00D16EA3" w:rsidRDefault="00D16EA3" w:rsidP="00D16EA3">
            <w:pPr>
              <w:tabs>
                <w:tab w:val="left" w:pos="2340"/>
              </w:tabs>
              <w:jc w:val="center"/>
              <w:rPr>
                <w:b/>
                <w:lang w:val="en-ZA"/>
              </w:rPr>
            </w:pPr>
          </w:p>
          <w:p w14:paraId="1BC61CF8" w14:textId="77777777" w:rsidR="00D16EA3" w:rsidRDefault="00D16EA3" w:rsidP="00D16EA3">
            <w:pPr>
              <w:tabs>
                <w:tab w:val="left" w:pos="2340"/>
              </w:tabs>
              <w:jc w:val="center"/>
              <w:rPr>
                <w:b/>
                <w:lang w:val="en-ZA"/>
              </w:rPr>
            </w:pPr>
          </w:p>
          <w:p w14:paraId="1A522778" w14:textId="77777777" w:rsidR="00D16EA3" w:rsidRDefault="00D16EA3" w:rsidP="00D16EA3">
            <w:pPr>
              <w:tabs>
                <w:tab w:val="left" w:pos="2340"/>
              </w:tabs>
              <w:jc w:val="center"/>
              <w:rPr>
                <w:b/>
                <w:lang w:val="en-ZA"/>
              </w:rPr>
            </w:pPr>
          </w:p>
          <w:p w14:paraId="5CC0E41C" w14:textId="77777777" w:rsidR="00D16EA3" w:rsidRDefault="00D16EA3" w:rsidP="00D16EA3">
            <w:pPr>
              <w:tabs>
                <w:tab w:val="left" w:pos="2340"/>
              </w:tabs>
              <w:jc w:val="center"/>
              <w:rPr>
                <w:b/>
                <w:lang w:val="en-ZA"/>
              </w:rPr>
            </w:pPr>
          </w:p>
          <w:p w14:paraId="6EFBE4E1" w14:textId="77777777" w:rsidR="00D16EA3" w:rsidRDefault="00D16EA3" w:rsidP="00D16EA3">
            <w:pPr>
              <w:tabs>
                <w:tab w:val="left" w:pos="2340"/>
              </w:tabs>
              <w:jc w:val="center"/>
              <w:rPr>
                <w:b/>
                <w:lang w:val="en-ZA"/>
              </w:rPr>
            </w:pPr>
          </w:p>
          <w:p w14:paraId="50887C5B" w14:textId="77777777" w:rsidR="00D16EA3" w:rsidRPr="00B574F9" w:rsidRDefault="00D16EA3" w:rsidP="00D16EA3">
            <w:pPr>
              <w:tabs>
                <w:tab w:val="left" w:pos="2340"/>
              </w:tabs>
              <w:jc w:val="center"/>
              <w:rPr>
                <w:b/>
                <w:lang w:val="en-ZA"/>
              </w:rPr>
            </w:pPr>
            <w:r w:rsidRPr="00B574F9">
              <w:rPr>
                <w:b/>
                <w:lang w:val="en-ZA"/>
              </w:rPr>
              <w:t>29 NOV</w:t>
            </w:r>
          </w:p>
        </w:tc>
        <w:tc>
          <w:tcPr>
            <w:tcW w:w="10340" w:type="dxa"/>
            <w:shd w:val="clear" w:color="auto" w:fill="E2EFD9" w:themeFill="accent6" w:themeFillTint="33"/>
          </w:tcPr>
          <w:p w14:paraId="34E2F9F3" w14:textId="45156B3F" w:rsidR="00D16EA3" w:rsidRDefault="00D16EA3" w:rsidP="00B574F9">
            <w:pPr>
              <w:tabs>
                <w:tab w:val="left" w:pos="2340"/>
              </w:tabs>
              <w:jc w:val="both"/>
              <w:rPr>
                <w:lang w:val="en-ZA"/>
              </w:rPr>
            </w:pPr>
          </w:p>
        </w:tc>
      </w:tr>
      <w:tr w:rsidR="00D16EA3" w:rsidRPr="0091401B" w14:paraId="32CD4525" w14:textId="77777777" w:rsidTr="00582929">
        <w:trPr>
          <w:trHeight w:val="2525"/>
        </w:trPr>
        <w:tc>
          <w:tcPr>
            <w:tcW w:w="824" w:type="dxa"/>
            <w:vMerge/>
            <w:shd w:val="clear" w:color="auto" w:fill="70AD47" w:themeFill="accent6"/>
          </w:tcPr>
          <w:p w14:paraId="282E2732" w14:textId="77777777" w:rsidR="00D16EA3" w:rsidRDefault="00D16EA3" w:rsidP="00746F5B">
            <w:pPr>
              <w:tabs>
                <w:tab w:val="left" w:pos="2340"/>
              </w:tabs>
              <w:jc w:val="both"/>
              <w:rPr>
                <w:lang w:val="en-ZA"/>
              </w:rPr>
            </w:pPr>
          </w:p>
        </w:tc>
        <w:tc>
          <w:tcPr>
            <w:tcW w:w="10340" w:type="dxa"/>
            <w:shd w:val="clear" w:color="auto" w:fill="E2EFD9" w:themeFill="accent6" w:themeFillTint="33"/>
          </w:tcPr>
          <w:p w14:paraId="0DA27FDD" w14:textId="5D94A053" w:rsidR="00D16EA3" w:rsidRDefault="00D16EA3" w:rsidP="00B574F9">
            <w:pPr>
              <w:rPr>
                <w:b/>
                <w:sz w:val="18"/>
                <w:szCs w:val="18"/>
                <w:lang w:val="en-ZA"/>
              </w:rPr>
            </w:pPr>
            <w:r w:rsidRPr="00B574F9">
              <w:rPr>
                <w:b/>
                <w:sz w:val="18"/>
                <w:szCs w:val="18"/>
                <w:lang w:val="en-ZA"/>
              </w:rPr>
              <w:t xml:space="preserve">Inclusive Participation and Accountability in SSDC: What is the Country Level State of Play? </w:t>
            </w:r>
          </w:p>
          <w:p w14:paraId="2E0FEB79" w14:textId="298CBFD4" w:rsidR="00D16EA3" w:rsidRDefault="00826057" w:rsidP="00B574F9">
            <w:pPr>
              <w:rPr>
                <w:b/>
                <w:sz w:val="18"/>
                <w:szCs w:val="18"/>
                <w:lang w:val="en-ZA"/>
              </w:rPr>
            </w:pPr>
            <w:r>
              <w:rPr>
                <w:b/>
                <w:sz w:val="18"/>
                <w:szCs w:val="18"/>
                <w:lang w:val="en-ZA"/>
              </w:rPr>
              <w:t>(</w:t>
            </w:r>
            <w:r w:rsidRPr="00B574F9">
              <w:rPr>
                <w:b/>
                <w:sz w:val="18"/>
                <w:szCs w:val="18"/>
                <w:lang w:val="en-ZA"/>
              </w:rPr>
              <w:t xml:space="preserve">Breakout session </w:t>
            </w:r>
            <w:r>
              <w:rPr>
                <w:b/>
                <w:sz w:val="18"/>
                <w:szCs w:val="18"/>
                <w:lang w:val="en-ZA"/>
              </w:rPr>
              <w:t xml:space="preserve">during </w:t>
            </w:r>
            <w:r w:rsidRPr="00B574F9">
              <w:rPr>
                <w:b/>
                <w:sz w:val="18"/>
                <w:szCs w:val="18"/>
                <w:lang w:val="en-ZA"/>
              </w:rPr>
              <w:t>CSO Forum</w:t>
            </w:r>
            <w:r>
              <w:rPr>
                <w:b/>
                <w:sz w:val="18"/>
                <w:szCs w:val="18"/>
                <w:lang w:val="en-ZA"/>
              </w:rPr>
              <w:t>)</w:t>
            </w:r>
          </w:p>
          <w:p w14:paraId="7BA05914" w14:textId="77777777" w:rsidR="00826057" w:rsidRDefault="00826057" w:rsidP="00B574F9">
            <w:pPr>
              <w:rPr>
                <w:b/>
                <w:sz w:val="18"/>
                <w:szCs w:val="18"/>
                <w:lang w:val="en-ZA"/>
              </w:rPr>
            </w:pPr>
          </w:p>
          <w:p w14:paraId="33C93E8D" w14:textId="77777777" w:rsidR="00D16EA3" w:rsidRDefault="00D16EA3" w:rsidP="00582929">
            <w:pPr>
              <w:jc w:val="both"/>
              <w:rPr>
                <w:sz w:val="18"/>
                <w:szCs w:val="18"/>
                <w:lang w:val="en-ZA"/>
              </w:rPr>
            </w:pPr>
            <w:r w:rsidRPr="0038710C">
              <w:rPr>
                <w:sz w:val="18"/>
                <w:szCs w:val="18"/>
                <w:lang w:val="en-ZA"/>
              </w:rPr>
              <w:t>This session will provide an opportunity for members of civil society from both SSDC provider and partner countries to discuss the issue of inclusive participation in SSDC and what accountability frameworks and mechanisms at the national level are in place to assess, monitor, and enhance the development impact of SSDC. It will also function as a space to share country-level experiences, as well as issues and challenges, in SSDC monitoring and participation of broader stake-holders. As a whole, the session is aimed towards increasing awareness of CSOs on key issues related to accountability and inclusivity in SSDC, and strengthening CSO position in preparation for the GPEDC HLM2.</w:t>
            </w:r>
          </w:p>
          <w:p w14:paraId="4A716689" w14:textId="77777777" w:rsidR="00D16EA3" w:rsidRDefault="00D16EA3" w:rsidP="00B574F9">
            <w:pPr>
              <w:rPr>
                <w:b/>
                <w:sz w:val="18"/>
                <w:szCs w:val="18"/>
                <w:lang w:val="en-ZA"/>
              </w:rPr>
            </w:pPr>
          </w:p>
          <w:p w14:paraId="29D78AE3" w14:textId="55321840" w:rsidR="00826057" w:rsidRDefault="00826057" w:rsidP="00B574F9">
            <w:pPr>
              <w:rPr>
                <w:b/>
                <w:sz w:val="18"/>
                <w:szCs w:val="18"/>
                <w:lang w:val="en-ZA"/>
              </w:rPr>
            </w:pPr>
            <w:r w:rsidRPr="00B574F9">
              <w:rPr>
                <w:b/>
                <w:sz w:val="18"/>
                <w:szCs w:val="18"/>
                <w:lang w:val="en-ZA"/>
              </w:rPr>
              <w:t>(</w:t>
            </w:r>
            <w:r>
              <w:rPr>
                <w:b/>
                <w:sz w:val="18"/>
                <w:szCs w:val="18"/>
                <w:lang w:val="en-ZA"/>
              </w:rPr>
              <w:t>Organisers: Reality of Aid Network/ Oxfam/NeST Africa</w:t>
            </w:r>
            <w:r w:rsidRPr="00B574F9">
              <w:rPr>
                <w:b/>
                <w:sz w:val="18"/>
                <w:szCs w:val="18"/>
                <w:lang w:val="en-ZA"/>
              </w:rPr>
              <w:t>)</w:t>
            </w:r>
          </w:p>
          <w:p w14:paraId="7B778243" w14:textId="72660771" w:rsidR="00D16EA3" w:rsidRPr="00B574F9" w:rsidRDefault="00D16EA3" w:rsidP="00342DD0">
            <w:pPr>
              <w:rPr>
                <w:b/>
                <w:sz w:val="18"/>
                <w:szCs w:val="18"/>
                <w:lang w:val="en-ZA"/>
              </w:rPr>
            </w:pPr>
            <w:r>
              <w:rPr>
                <w:b/>
                <w:sz w:val="18"/>
                <w:szCs w:val="18"/>
                <w:lang w:val="en-ZA"/>
              </w:rPr>
              <w:t xml:space="preserve">Pride Inn Conference Centre, </w:t>
            </w:r>
            <w:r w:rsidRPr="00AA2B58">
              <w:rPr>
                <w:sz w:val="18"/>
                <w:szCs w:val="18"/>
                <w:lang w:val="en-ZA"/>
              </w:rPr>
              <w:t>Westlands road</w:t>
            </w:r>
            <w:r>
              <w:rPr>
                <w:b/>
                <w:sz w:val="18"/>
                <w:szCs w:val="18"/>
                <w:lang w:val="en-ZA"/>
              </w:rPr>
              <w:t xml:space="preserve">, </w:t>
            </w:r>
            <w:r w:rsidRPr="0038710C">
              <w:rPr>
                <w:sz w:val="18"/>
                <w:szCs w:val="18"/>
                <w:lang w:val="en-ZA"/>
              </w:rPr>
              <w:t>11:30 am - 12:30pm</w:t>
            </w:r>
            <w:r>
              <w:rPr>
                <w:sz w:val="18"/>
                <w:szCs w:val="18"/>
                <w:lang w:val="en-ZA"/>
              </w:rPr>
              <w:t xml:space="preserve"> </w:t>
            </w:r>
          </w:p>
        </w:tc>
      </w:tr>
      <w:tr w:rsidR="00D16EA3" w14:paraId="7CCCAE38" w14:textId="77777777" w:rsidTr="00582929">
        <w:trPr>
          <w:trHeight w:val="243"/>
        </w:trPr>
        <w:tc>
          <w:tcPr>
            <w:tcW w:w="824" w:type="dxa"/>
            <w:vMerge w:val="restart"/>
            <w:shd w:val="clear" w:color="auto" w:fill="70AD47" w:themeFill="accent6"/>
          </w:tcPr>
          <w:p w14:paraId="07E25936" w14:textId="77777777" w:rsidR="00D16EA3" w:rsidRDefault="00D16EA3" w:rsidP="00D16EA3">
            <w:pPr>
              <w:tabs>
                <w:tab w:val="left" w:pos="2340"/>
              </w:tabs>
              <w:jc w:val="center"/>
              <w:rPr>
                <w:b/>
                <w:lang w:val="en-ZA"/>
              </w:rPr>
            </w:pPr>
          </w:p>
          <w:p w14:paraId="11852C02" w14:textId="77777777" w:rsidR="00D16EA3" w:rsidRDefault="00D16EA3" w:rsidP="00D16EA3">
            <w:pPr>
              <w:tabs>
                <w:tab w:val="left" w:pos="2340"/>
              </w:tabs>
              <w:jc w:val="center"/>
              <w:rPr>
                <w:b/>
                <w:lang w:val="en-ZA"/>
              </w:rPr>
            </w:pPr>
          </w:p>
          <w:p w14:paraId="3CF615D4" w14:textId="77777777" w:rsidR="00D16EA3" w:rsidRDefault="00D16EA3" w:rsidP="00D16EA3">
            <w:pPr>
              <w:tabs>
                <w:tab w:val="left" w:pos="2340"/>
              </w:tabs>
              <w:jc w:val="center"/>
              <w:rPr>
                <w:b/>
                <w:lang w:val="en-ZA"/>
              </w:rPr>
            </w:pPr>
          </w:p>
          <w:p w14:paraId="47B03C55" w14:textId="77777777" w:rsidR="00D16EA3" w:rsidRDefault="00D16EA3" w:rsidP="00D16EA3">
            <w:pPr>
              <w:tabs>
                <w:tab w:val="left" w:pos="2340"/>
              </w:tabs>
              <w:jc w:val="center"/>
              <w:rPr>
                <w:b/>
                <w:lang w:val="en-ZA"/>
              </w:rPr>
            </w:pPr>
          </w:p>
          <w:p w14:paraId="4F076C4F" w14:textId="77777777" w:rsidR="00D16EA3" w:rsidRDefault="00D16EA3" w:rsidP="00D16EA3">
            <w:pPr>
              <w:tabs>
                <w:tab w:val="left" w:pos="2340"/>
              </w:tabs>
              <w:jc w:val="center"/>
              <w:rPr>
                <w:b/>
                <w:lang w:val="en-ZA"/>
              </w:rPr>
            </w:pPr>
          </w:p>
          <w:p w14:paraId="6AD2EDF6" w14:textId="77777777" w:rsidR="00D16EA3" w:rsidRDefault="00D16EA3" w:rsidP="00D16EA3">
            <w:pPr>
              <w:tabs>
                <w:tab w:val="left" w:pos="2340"/>
              </w:tabs>
              <w:jc w:val="center"/>
              <w:rPr>
                <w:b/>
                <w:lang w:val="en-ZA"/>
              </w:rPr>
            </w:pPr>
          </w:p>
          <w:p w14:paraId="38FFD959" w14:textId="77777777" w:rsidR="00D16EA3" w:rsidRDefault="00D16EA3" w:rsidP="00D16EA3">
            <w:pPr>
              <w:tabs>
                <w:tab w:val="left" w:pos="2340"/>
              </w:tabs>
              <w:jc w:val="center"/>
              <w:rPr>
                <w:b/>
                <w:lang w:val="en-ZA"/>
              </w:rPr>
            </w:pPr>
          </w:p>
          <w:p w14:paraId="4A420339" w14:textId="77777777" w:rsidR="00D16EA3" w:rsidRDefault="00D16EA3" w:rsidP="00D16EA3">
            <w:pPr>
              <w:tabs>
                <w:tab w:val="left" w:pos="2340"/>
              </w:tabs>
              <w:jc w:val="center"/>
              <w:rPr>
                <w:b/>
                <w:lang w:val="en-ZA"/>
              </w:rPr>
            </w:pPr>
          </w:p>
          <w:p w14:paraId="61827E04" w14:textId="77777777" w:rsidR="00D16EA3" w:rsidRDefault="00D16EA3" w:rsidP="00D16EA3">
            <w:pPr>
              <w:tabs>
                <w:tab w:val="left" w:pos="2340"/>
              </w:tabs>
              <w:jc w:val="center"/>
              <w:rPr>
                <w:b/>
                <w:lang w:val="en-ZA"/>
              </w:rPr>
            </w:pPr>
          </w:p>
          <w:p w14:paraId="66295743" w14:textId="77777777" w:rsidR="00D16EA3" w:rsidRPr="00D16EA3" w:rsidRDefault="00D16EA3" w:rsidP="00D16EA3">
            <w:pPr>
              <w:tabs>
                <w:tab w:val="left" w:pos="2340"/>
              </w:tabs>
              <w:jc w:val="center"/>
              <w:rPr>
                <w:b/>
                <w:lang w:val="en-ZA"/>
              </w:rPr>
            </w:pPr>
            <w:r w:rsidRPr="00D16EA3">
              <w:rPr>
                <w:b/>
                <w:lang w:val="en-ZA"/>
              </w:rPr>
              <w:t>30 NOV</w:t>
            </w:r>
          </w:p>
        </w:tc>
        <w:tc>
          <w:tcPr>
            <w:tcW w:w="10340" w:type="dxa"/>
            <w:shd w:val="clear" w:color="auto" w:fill="E2EFD9" w:themeFill="accent6" w:themeFillTint="33"/>
          </w:tcPr>
          <w:p w14:paraId="7DD93BAB" w14:textId="77777777" w:rsidR="00826057" w:rsidRDefault="00D16EA3" w:rsidP="00582929">
            <w:pPr>
              <w:rPr>
                <w:b/>
                <w:sz w:val="18"/>
                <w:szCs w:val="18"/>
                <w:lang w:val="en-ZA"/>
              </w:rPr>
            </w:pPr>
            <w:r w:rsidRPr="00582929">
              <w:rPr>
                <w:b/>
                <w:sz w:val="18"/>
                <w:szCs w:val="18"/>
                <w:lang w:val="en-ZA"/>
              </w:rPr>
              <w:t xml:space="preserve">Converging or Distinctive Features? Key Learnings from South-South Cooperation Case Studies and Conceptual Trends </w:t>
            </w:r>
          </w:p>
          <w:p w14:paraId="5B059030" w14:textId="20001F2F" w:rsidR="00D16EA3" w:rsidRDefault="00D16EA3" w:rsidP="00582929">
            <w:pPr>
              <w:rPr>
                <w:b/>
                <w:sz w:val="18"/>
                <w:szCs w:val="18"/>
                <w:lang w:val="en-ZA"/>
              </w:rPr>
            </w:pPr>
            <w:r w:rsidRPr="00582929">
              <w:rPr>
                <w:b/>
                <w:sz w:val="18"/>
                <w:szCs w:val="18"/>
                <w:lang w:val="en-ZA"/>
              </w:rPr>
              <w:t xml:space="preserve">(Side-event </w:t>
            </w:r>
            <w:r w:rsidR="00826057">
              <w:rPr>
                <w:b/>
                <w:sz w:val="18"/>
                <w:szCs w:val="18"/>
                <w:lang w:val="en-ZA"/>
              </w:rPr>
              <w:t xml:space="preserve">during </w:t>
            </w:r>
            <w:r w:rsidRPr="00582929">
              <w:rPr>
                <w:b/>
                <w:sz w:val="18"/>
                <w:szCs w:val="18"/>
                <w:lang w:val="en-ZA"/>
              </w:rPr>
              <w:t>HLM</w:t>
            </w:r>
            <w:r w:rsidR="00826057">
              <w:rPr>
                <w:b/>
                <w:sz w:val="18"/>
                <w:szCs w:val="18"/>
                <w:lang w:val="en-ZA"/>
              </w:rPr>
              <w:t>2)</w:t>
            </w:r>
          </w:p>
          <w:p w14:paraId="7F795C06" w14:textId="77777777" w:rsidR="00D16EA3" w:rsidRPr="00582929" w:rsidRDefault="00D16EA3" w:rsidP="00582929">
            <w:pPr>
              <w:rPr>
                <w:b/>
                <w:sz w:val="18"/>
                <w:szCs w:val="18"/>
                <w:lang w:val="en-ZA"/>
              </w:rPr>
            </w:pPr>
          </w:p>
          <w:p w14:paraId="6DCC432B" w14:textId="77777777" w:rsidR="00D16EA3" w:rsidRDefault="00D16EA3" w:rsidP="00582929">
            <w:pPr>
              <w:jc w:val="both"/>
              <w:rPr>
                <w:sz w:val="18"/>
                <w:szCs w:val="18"/>
                <w:lang w:val="en-ZA"/>
              </w:rPr>
            </w:pPr>
            <w:r w:rsidRPr="00F71A40">
              <w:rPr>
                <w:sz w:val="18"/>
                <w:szCs w:val="18"/>
                <w:lang w:val="en-ZA"/>
              </w:rPr>
              <w:t>This side event shall (1) provide evidence and learning emerging from a number of field-based empirical studies on SSC providers using the NeST Conceptual Framework on South-South Cooperation; (2) share opportunities and challenges of converging or distinctive features of development cooperation reporting of Southern and Northern development partners; and (3) how emerging and traditional development partners contribute to regional development, and measure and monitor development finance while aiming toward the achievement of the Agenda 2030 for Sustainable Development.</w:t>
            </w:r>
          </w:p>
          <w:p w14:paraId="5039C587" w14:textId="77777777" w:rsidR="00D16EA3" w:rsidRDefault="00D16EA3" w:rsidP="00582929">
            <w:pPr>
              <w:jc w:val="both"/>
              <w:rPr>
                <w:sz w:val="18"/>
                <w:szCs w:val="18"/>
                <w:lang w:val="en-ZA"/>
              </w:rPr>
            </w:pPr>
          </w:p>
          <w:p w14:paraId="32EAB009" w14:textId="1F0A556D" w:rsidR="00826057" w:rsidRPr="0091401B" w:rsidRDefault="00826057" w:rsidP="00582929">
            <w:pPr>
              <w:jc w:val="both"/>
              <w:rPr>
                <w:sz w:val="18"/>
                <w:szCs w:val="18"/>
                <w:lang w:val="de-LU"/>
              </w:rPr>
            </w:pPr>
            <w:r w:rsidRPr="0091401B">
              <w:rPr>
                <w:b/>
                <w:sz w:val="18"/>
                <w:szCs w:val="18"/>
                <w:lang w:val="de-LU"/>
              </w:rPr>
              <w:t xml:space="preserve">(organisers: </w:t>
            </w:r>
            <w:r w:rsidR="00EF39CA">
              <w:rPr>
                <w:b/>
                <w:sz w:val="18"/>
                <w:szCs w:val="18"/>
                <w:lang w:val="de-LU"/>
              </w:rPr>
              <w:t xml:space="preserve">Oxfam, UNDP, NeST, </w:t>
            </w:r>
            <w:r w:rsidRPr="0091401B">
              <w:rPr>
                <w:b/>
                <w:sz w:val="18"/>
                <w:szCs w:val="18"/>
                <w:lang w:val="de-LU"/>
              </w:rPr>
              <w:t>DIE)</w:t>
            </w:r>
          </w:p>
          <w:p w14:paraId="535B9E17" w14:textId="21E89342" w:rsidR="00D16EA3" w:rsidRPr="00582929" w:rsidRDefault="00D16EA3" w:rsidP="00342DD0">
            <w:pPr>
              <w:rPr>
                <w:b/>
                <w:sz w:val="18"/>
                <w:szCs w:val="18"/>
                <w:lang w:val="en-ZA"/>
              </w:rPr>
            </w:pPr>
            <w:r>
              <w:rPr>
                <w:b/>
                <w:sz w:val="18"/>
                <w:szCs w:val="18"/>
                <w:lang w:val="en-ZA"/>
              </w:rPr>
              <w:t xml:space="preserve">Kenyatta International Convention </w:t>
            </w:r>
            <w:proofErr w:type="spellStart"/>
            <w:r>
              <w:rPr>
                <w:b/>
                <w:sz w:val="18"/>
                <w:szCs w:val="18"/>
                <w:lang w:val="en-ZA"/>
              </w:rPr>
              <w:t>Center</w:t>
            </w:r>
            <w:proofErr w:type="spellEnd"/>
            <w:r>
              <w:rPr>
                <w:b/>
                <w:sz w:val="18"/>
                <w:szCs w:val="18"/>
                <w:lang w:val="en-ZA"/>
              </w:rPr>
              <w:t xml:space="preserve"> (</w:t>
            </w:r>
            <w:r w:rsidRPr="00AA2B58">
              <w:rPr>
                <w:b/>
                <w:sz w:val="18"/>
                <w:szCs w:val="18"/>
                <w:lang w:val="en-ZA"/>
              </w:rPr>
              <w:t>KICC</w:t>
            </w:r>
            <w:r>
              <w:rPr>
                <w:b/>
                <w:sz w:val="18"/>
                <w:szCs w:val="18"/>
                <w:lang w:val="en-ZA"/>
              </w:rPr>
              <w:t xml:space="preserve">), </w:t>
            </w:r>
            <w:proofErr w:type="spellStart"/>
            <w:r w:rsidRPr="00AA2B58">
              <w:rPr>
                <w:sz w:val="18"/>
                <w:szCs w:val="18"/>
                <w:lang w:val="en-ZA"/>
              </w:rPr>
              <w:t>Harambee</w:t>
            </w:r>
            <w:proofErr w:type="spellEnd"/>
            <w:r w:rsidRPr="00AA2B58">
              <w:rPr>
                <w:sz w:val="18"/>
                <w:szCs w:val="18"/>
                <w:lang w:val="en-ZA"/>
              </w:rPr>
              <w:t xml:space="preserve"> Avenue </w:t>
            </w:r>
            <w:r>
              <w:rPr>
                <w:sz w:val="18"/>
                <w:szCs w:val="18"/>
                <w:lang w:val="en-ZA"/>
              </w:rPr>
              <w:t>NAIROBI, KENYA</w:t>
            </w:r>
            <w:r>
              <w:rPr>
                <w:b/>
                <w:sz w:val="18"/>
                <w:szCs w:val="18"/>
                <w:lang w:val="en-ZA"/>
              </w:rPr>
              <w:t xml:space="preserve">, </w:t>
            </w:r>
            <w:r w:rsidRPr="0038710C">
              <w:rPr>
                <w:sz w:val="18"/>
                <w:szCs w:val="18"/>
                <w:lang w:val="en-ZA"/>
              </w:rPr>
              <w:t>Flamingo</w:t>
            </w:r>
            <w:r>
              <w:rPr>
                <w:sz w:val="18"/>
                <w:szCs w:val="18"/>
                <w:lang w:val="en-ZA"/>
              </w:rPr>
              <w:t xml:space="preserve"> Room</w:t>
            </w:r>
            <w:r>
              <w:rPr>
                <w:b/>
                <w:sz w:val="18"/>
                <w:szCs w:val="18"/>
                <w:lang w:val="en-ZA"/>
              </w:rPr>
              <w:t xml:space="preserve">, </w:t>
            </w:r>
            <w:r w:rsidRPr="0038710C">
              <w:rPr>
                <w:sz w:val="18"/>
                <w:szCs w:val="18"/>
                <w:lang w:val="en-ZA"/>
              </w:rPr>
              <w:t>1:30-2:30</w:t>
            </w:r>
            <w:r>
              <w:rPr>
                <w:sz w:val="18"/>
                <w:szCs w:val="18"/>
                <w:lang w:val="en-ZA"/>
              </w:rPr>
              <w:t xml:space="preserve"> pm</w:t>
            </w:r>
            <w:r>
              <w:rPr>
                <w:b/>
                <w:sz w:val="18"/>
                <w:szCs w:val="18"/>
                <w:lang w:val="en-ZA"/>
              </w:rPr>
              <w:t xml:space="preserve"> </w:t>
            </w:r>
          </w:p>
        </w:tc>
      </w:tr>
      <w:tr w:rsidR="00D16EA3" w:rsidRPr="00582929" w14:paraId="1AE56F3C" w14:textId="77777777" w:rsidTr="00582929">
        <w:trPr>
          <w:trHeight w:val="243"/>
        </w:trPr>
        <w:tc>
          <w:tcPr>
            <w:tcW w:w="824" w:type="dxa"/>
            <w:vMerge/>
            <w:shd w:val="clear" w:color="auto" w:fill="70AD47" w:themeFill="accent6"/>
          </w:tcPr>
          <w:p w14:paraId="5344A0B0" w14:textId="77777777" w:rsidR="00D16EA3" w:rsidRDefault="00D16EA3" w:rsidP="00746F5B">
            <w:pPr>
              <w:tabs>
                <w:tab w:val="left" w:pos="2340"/>
              </w:tabs>
              <w:jc w:val="both"/>
              <w:rPr>
                <w:lang w:val="en-ZA"/>
              </w:rPr>
            </w:pPr>
          </w:p>
        </w:tc>
        <w:tc>
          <w:tcPr>
            <w:tcW w:w="10340" w:type="dxa"/>
            <w:shd w:val="clear" w:color="auto" w:fill="E2EFD9" w:themeFill="accent6" w:themeFillTint="33"/>
          </w:tcPr>
          <w:p w14:paraId="0AD57401" w14:textId="1A9C4FB5" w:rsidR="00D16EA3" w:rsidRDefault="00D16EA3" w:rsidP="00582929">
            <w:pPr>
              <w:rPr>
                <w:b/>
                <w:sz w:val="18"/>
                <w:szCs w:val="18"/>
                <w:lang w:val="en-ZA"/>
              </w:rPr>
            </w:pPr>
            <w:r w:rsidRPr="00582929">
              <w:rPr>
                <w:b/>
                <w:sz w:val="18"/>
                <w:szCs w:val="18"/>
                <w:lang w:val="en-ZA"/>
              </w:rPr>
              <w:t xml:space="preserve">Accountability for Effective Development Cooperation for the 2030 Agenda: How to move forward? </w:t>
            </w:r>
          </w:p>
          <w:p w14:paraId="23C6673D" w14:textId="79AA9417" w:rsidR="00826057" w:rsidRDefault="00826057" w:rsidP="00826057">
            <w:pPr>
              <w:rPr>
                <w:b/>
                <w:sz w:val="18"/>
                <w:szCs w:val="18"/>
                <w:lang w:val="en-ZA"/>
              </w:rPr>
            </w:pPr>
            <w:r w:rsidRPr="00582929">
              <w:rPr>
                <w:b/>
                <w:sz w:val="18"/>
                <w:szCs w:val="18"/>
                <w:lang w:val="en-ZA"/>
              </w:rPr>
              <w:t xml:space="preserve">(Side-event </w:t>
            </w:r>
            <w:r>
              <w:rPr>
                <w:b/>
                <w:sz w:val="18"/>
                <w:szCs w:val="18"/>
                <w:lang w:val="en-ZA"/>
              </w:rPr>
              <w:t xml:space="preserve">during </w:t>
            </w:r>
            <w:r w:rsidRPr="00582929">
              <w:rPr>
                <w:b/>
                <w:sz w:val="18"/>
                <w:szCs w:val="18"/>
                <w:lang w:val="en-ZA"/>
              </w:rPr>
              <w:t>HLM</w:t>
            </w:r>
            <w:r>
              <w:rPr>
                <w:b/>
                <w:sz w:val="18"/>
                <w:szCs w:val="18"/>
                <w:lang w:val="en-ZA"/>
              </w:rPr>
              <w:t>2)</w:t>
            </w:r>
          </w:p>
          <w:p w14:paraId="39D00BB4" w14:textId="77777777" w:rsidR="00D16EA3" w:rsidRDefault="00D16EA3" w:rsidP="00582929">
            <w:pPr>
              <w:rPr>
                <w:b/>
                <w:sz w:val="18"/>
                <w:szCs w:val="18"/>
                <w:lang w:val="en-ZA"/>
              </w:rPr>
            </w:pPr>
          </w:p>
          <w:p w14:paraId="7D5DBAD9" w14:textId="77777777" w:rsidR="00D16EA3" w:rsidRDefault="00D16EA3" w:rsidP="00D16EA3">
            <w:pPr>
              <w:jc w:val="both"/>
              <w:rPr>
                <w:b/>
                <w:sz w:val="18"/>
                <w:szCs w:val="18"/>
                <w:lang w:val="en-ZA"/>
              </w:rPr>
            </w:pPr>
            <w:r w:rsidRPr="0038710C">
              <w:rPr>
                <w:sz w:val="18"/>
                <w:szCs w:val="18"/>
                <w:lang w:val="en-ZA"/>
              </w:rPr>
              <w:t>The  panel  brings  together  researchers  from  global  think  tanks  and  universities  as  well  as  key policy  makers  from  the  development  cooperation  policy  field  to  identify  and  discuss  shared priorities regarding accountability for the implementation of the 2030 agenda. As such, it aims to contribute to the ongoing debate about the role, contribution and linkage between development cooperation and the 2030 Agenda.</w:t>
            </w:r>
          </w:p>
          <w:p w14:paraId="0FD61B75" w14:textId="77777777" w:rsidR="00D16EA3" w:rsidRDefault="00D16EA3" w:rsidP="00582929">
            <w:pPr>
              <w:rPr>
                <w:b/>
                <w:sz w:val="18"/>
                <w:szCs w:val="18"/>
                <w:lang w:val="en-ZA"/>
              </w:rPr>
            </w:pPr>
          </w:p>
          <w:p w14:paraId="3FB9060C" w14:textId="6D7E91F8" w:rsidR="00826057" w:rsidRPr="0091401B" w:rsidRDefault="00826057" w:rsidP="00582929">
            <w:pPr>
              <w:rPr>
                <w:b/>
                <w:sz w:val="18"/>
                <w:szCs w:val="18"/>
                <w:lang w:val="de-LU"/>
              </w:rPr>
            </w:pPr>
            <w:r w:rsidRPr="0091401B">
              <w:rPr>
                <w:b/>
                <w:sz w:val="18"/>
                <w:szCs w:val="18"/>
                <w:lang w:val="de-LU"/>
              </w:rPr>
              <w:t>(organisers: DIE, SAIIA, XIAMEN UNIVERSITY)</w:t>
            </w:r>
          </w:p>
          <w:p w14:paraId="23E81E77" w14:textId="2B2365DC" w:rsidR="00342DD0" w:rsidRPr="00342DD0" w:rsidRDefault="00D16EA3" w:rsidP="00342DD0">
            <w:pPr>
              <w:rPr>
                <w:sz w:val="18"/>
                <w:szCs w:val="18"/>
                <w:lang w:val="pt-BR"/>
              </w:rPr>
            </w:pPr>
            <w:r>
              <w:rPr>
                <w:b/>
                <w:sz w:val="18"/>
                <w:szCs w:val="18"/>
                <w:lang w:val="en-ZA"/>
              </w:rPr>
              <w:t xml:space="preserve">Kenyatta International Convention </w:t>
            </w:r>
            <w:proofErr w:type="spellStart"/>
            <w:r>
              <w:rPr>
                <w:b/>
                <w:sz w:val="18"/>
                <w:szCs w:val="18"/>
                <w:lang w:val="en-ZA"/>
              </w:rPr>
              <w:t>Center</w:t>
            </w:r>
            <w:proofErr w:type="spellEnd"/>
            <w:r>
              <w:rPr>
                <w:b/>
                <w:sz w:val="18"/>
                <w:szCs w:val="18"/>
                <w:lang w:val="en-ZA"/>
              </w:rPr>
              <w:t xml:space="preserve"> (</w:t>
            </w:r>
            <w:r w:rsidRPr="00582929">
              <w:rPr>
                <w:b/>
                <w:sz w:val="18"/>
                <w:szCs w:val="18"/>
                <w:lang w:val="pt-BR"/>
              </w:rPr>
              <w:t>KICC</w:t>
            </w:r>
            <w:r>
              <w:rPr>
                <w:b/>
                <w:sz w:val="18"/>
                <w:szCs w:val="18"/>
                <w:lang w:val="pt-BR"/>
              </w:rPr>
              <w:t>)</w:t>
            </w:r>
            <w:r w:rsidRPr="00582929">
              <w:rPr>
                <w:b/>
                <w:sz w:val="18"/>
                <w:szCs w:val="18"/>
                <w:lang w:val="pt-BR"/>
              </w:rPr>
              <w:t xml:space="preserve">, </w:t>
            </w:r>
            <w:r w:rsidRPr="00582929">
              <w:rPr>
                <w:sz w:val="18"/>
                <w:szCs w:val="18"/>
                <w:lang w:val="pt-BR"/>
              </w:rPr>
              <w:t>Flamingo Room</w:t>
            </w:r>
            <w:r w:rsidRPr="00582929">
              <w:rPr>
                <w:b/>
                <w:sz w:val="18"/>
                <w:szCs w:val="18"/>
                <w:lang w:val="pt-BR"/>
              </w:rPr>
              <w:t xml:space="preserve">, </w:t>
            </w:r>
            <w:r w:rsidRPr="00582929">
              <w:rPr>
                <w:sz w:val="18"/>
                <w:szCs w:val="18"/>
                <w:lang w:val="pt-BR"/>
              </w:rPr>
              <w:t xml:space="preserve">2:30- 3:30 pm </w:t>
            </w:r>
          </w:p>
        </w:tc>
      </w:tr>
      <w:tr w:rsidR="00D16EA3" w:rsidRPr="00D16EA3" w14:paraId="326C91F6" w14:textId="77777777" w:rsidTr="00582929">
        <w:trPr>
          <w:trHeight w:val="243"/>
        </w:trPr>
        <w:tc>
          <w:tcPr>
            <w:tcW w:w="824" w:type="dxa"/>
            <w:vMerge/>
            <w:shd w:val="clear" w:color="auto" w:fill="70AD47" w:themeFill="accent6"/>
          </w:tcPr>
          <w:p w14:paraId="6EE90685" w14:textId="77777777" w:rsidR="00D16EA3" w:rsidRDefault="00D16EA3" w:rsidP="00746F5B">
            <w:pPr>
              <w:tabs>
                <w:tab w:val="left" w:pos="2340"/>
              </w:tabs>
              <w:jc w:val="both"/>
              <w:rPr>
                <w:lang w:val="en-ZA"/>
              </w:rPr>
            </w:pPr>
          </w:p>
        </w:tc>
        <w:tc>
          <w:tcPr>
            <w:tcW w:w="10340" w:type="dxa"/>
            <w:shd w:val="clear" w:color="auto" w:fill="E2EFD9" w:themeFill="accent6" w:themeFillTint="33"/>
          </w:tcPr>
          <w:p w14:paraId="2BB2BB0D" w14:textId="77777777" w:rsidR="00826057" w:rsidRDefault="00D16EA3" w:rsidP="00D16EA3">
            <w:pPr>
              <w:rPr>
                <w:b/>
                <w:sz w:val="18"/>
                <w:szCs w:val="18"/>
                <w:lang w:val="en-ZA"/>
              </w:rPr>
            </w:pPr>
            <w:r w:rsidRPr="00D16EA3">
              <w:rPr>
                <w:b/>
                <w:sz w:val="18"/>
                <w:szCs w:val="18"/>
                <w:lang w:val="en-ZA"/>
              </w:rPr>
              <w:t xml:space="preserve">South-South Partners for Africa´s Development: Improving Accountability </w:t>
            </w:r>
          </w:p>
          <w:p w14:paraId="6D6AFE8D" w14:textId="23DCF4F8" w:rsidR="00D16EA3" w:rsidRDefault="00826057" w:rsidP="00D16EA3">
            <w:pPr>
              <w:rPr>
                <w:b/>
                <w:sz w:val="18"/>
                <w:szCs w:val="18"/>
                <w:lang w:val="en-ZA"/>
              </w:rPr>
            </w:pPr>
            <w:r>
              <w:rPr>
                <w:b/>
                <w:sz w:val="18"/>
                <w:szCs w:val="18"/>
                <w:lang w:val="en-ZA"/>
              </w:rPr>
              <w:t xml:space="preserve">(Amphitheatre Session during HLM2) </w:t>
            </w:r>
          </w:p>
          <w:p w14:paraId="6EAEA648" w14:textId="77777777" w:rsidR="00826057" w:rsidRDefault="00826057" w:rsidP="00D16EA3">
            <w:pPr>
              <w:rPr>
                <w:sz w:val="18"/>
                <w:szCs w:val="18"/>
                <w:lang w:val="en-ZA"/>
              </w:rPr>
            </w:pPr>
          </w:p>
          <w:p w14:paraId="3CB46720" w14:textId="77777777" w:rsidR="00D16EA3" w:rsidRDefault="00D16EA3" w:rsidP="00D16EA3">
            <w:pPr>
              <w:jc w:val="both"/>
              <w:rPr>
                <w:sz w:val="18"/>
                <w:szCs w:val="18"/>
                <w:lang w:val="en-ZA"/>
              </w:rPr>
            </w:pPr>
            <w:r>
              <w:rPr>
                <w:sz w:val="18"/>
                <w:szCs w:val="18"/>
                <w:lang w:val="en-ZA"/>
              </w:rPr>
              <w:t>This session will provide the space for a candid p</w:t>
            </w:r>
            <w:r w:rsidRPr="00813460">
              <w:rPr>
                <w:sz w:val="18"/>
                <w:szCs w:val="18"/>
                <w:lang w:val="en-ZA"/>
              </w:rPr>
              <w:t>olitical debate on the challenges and opportunities of impact and accountability of Sou</w:t>
            </w:r>
            <w:r>
              <w:rPr>
                <w:sz w:val="18"/>
                <w:szCs w:val="18"/>
                <w:lang w:val="en-ZA"/>
              </w:rPr>
              <w:t xml:space="preserve">th-South cooperation in Africa. </w:t>
            </w:r>
            <w:r w:rsidRPr="00813460">
              <w:rPr>
                <w:sz w:val="18"/>
                <w:szCs w:val="18"/>
                <w:lang w:val="en-ZA"/>
              </w:rPr>
              <w:t>Stakeholders will discuss concrete experiences, ground reality, features of S</w:t>
            </w:r>
            <w:r>
              <w:rPr>
                <w:sz w:val="18"/>
                <w:szCs w:val="18"/>
                <w:lang w:val="en-ZA"/>
              </w:rPr>
              <w:t>SC</w:t>
            </w:r>
            <w:r w:rsidRPr="00813460">
              <w:rPr>
                <w:sz w:val="18"/>
                <w:szCs w:val="18"/>
                <w:lang w:val="en-ZA"/>
              </w:rPr>
              <w:t xml:space="preserve"> in Africa, and suggest appropriate mechanisms for monitoring, evaluation and mutual accountability of emerging development partners at national and regional level</w:t>
            </w:r>
            <w:r>
              <w:rPr>
                <w:sz w:val="18"/>
                <w:szCs w:val="18"/>
                <w:lang w:val="en-ZA"/>
              </w:rPr>
              <w:t>, as well as to how to measure their contribution to the SDGs</w:t>
            </w:r>
            <w:r w:rsidRPr="00813460">
              <w:rPr>
                <w:sz w:val="18"/>
                <w:szCs w:val="18"/>
                <w:lang w:val="en-ZA"/>
              </w:rPr>
              <w:t>.</w:t>
            </w:r>
            <w:r>
              <w:rPr>
                <w:sz w:val="18"/>
                <w:szCs w:val="18"/>
                <w:lang w:val="en-ZA"/>
              </w:rPr>
              <w:t xml:space="preserve"> </w:t>
            </w:r>
            <w:r w:rsidRPr="00813460">
              <w:rPr>
                <w:sz w:val="18"/>
                <w:szCs w:val="18"/>
                <w:lang w:val="en-ZA"/>
              </w:rPr>
              <w:t>The amphitheatre panel discussion will feed into the main plenary session n. 3 on ‘South-South and Triangular cooperation’ to be held at the 2</w:t>
            </w:r>
            <w:r w:rsidRPr="00813460">
              <w:rPr>
                <w:sz w:val="18"/>
                <w:szCs w:val="18"/>
                <w:vertAlign w:val="superscript"/>
                <w:lang w:val="en-ZA"/>
              </w:rPr>
              <w:t>nd</w:t>
            </w:r>
            <w:r>
              <w:rPr>
                <w:sz w:val="18"/>
                <w:szCs w:val="18"/>
                <w:lang w:val="en-ZA"/>
              </w:rPr>
              <w:t xml:space="preserve"> HLM.</w:t>
            </w:r>
          </w:p>
          <w:p w14:paraId="6FE512DC" w14:textId="77777777" w:rsidR="00D16EA3" w:rsidRDefault="00D16EA3" w:rsidP="00D16EA3">
            <w:pPr>
              <w:rPr>
                <w:sz w:val="18"/>
                <w:szCs w:val="18"/>
                <w:lang w:val="en-ZA"/>
              </w:rPr>
            </w:pPr>
          </w:p>
          <w:p w14:paraId="3D2E1057" w14:textId="0E0A0FB4" w:rsidR="00826057" w:rsidRPr="00826057" w:rsidRDefault="00826057" w:rsidP="00D16EA3">
            <w:pPr>
              <w:rPr>
                <w:b/>
                <w:sz w:val="18"/>
                <w:szCs w:val="18"/>
                <w:lang w:val="en-ZA"/>
              </w:rPr>
            </w:pPr>
            <w:r>
              <w:rPr>
                <w:b/>
                <w:sz w:val="18"/>
                <w:szCs w:val="18"/>
                <w:lang w:val="en-ZA"/>
              </w:rPr>
              <w:t>(</w:t>
            </w:r>
            <w:r w:rsidRPr="00D16EA3">
              <w:rPr>
                <w:b/>
                <w:sz w:val="18"/>
                <w:szCs w:val="18"/>
                <w:lang w:val="en-ZA"/>
              </w:rPr>
              <w:t>organisers: National Treasury</w:t>
            </w:r>
            <w:r>
              <w:rPr>
                <w:b/>
                <w:sz w:val="18"/>
                <w:szCs w:val="18"/>
                <w:lang w:val="en-ZA"/>
              </w:rPr>
              <w:t xml:space="preserve"> of Kenya, Ministry of Finance </w:t>
            </w:r>
            <w:r w:rsidRPr="00D16EA3">
              <w:rPr>
                <w:b/>
                <w:sz w:val="18"/>
                <w:szCs w:val="18"/>
                <w:lang w:val="en-ZA"/>
              </w:rPr>
              <w:t>of Malawi, NeST Africa, Reality of Aid Africa)</w:t>
            </w:r>
          </w:p>
          <w:p w14:paraId="421172C4" w14:textId="08077A39" w:rsidR="00D16EA3" w:rsidRPr="00D16EA3" w:rsidRDefault="00D16EA3" w:rsidP="00342DD0">
            <w:pPr>
              <w:rPr>
                <w:b/>
                <w:sz w:val="18"/>
                <w:szCs w:val="18"/>
                <w:lang w:val="en-ZA"/>
              </w:rPr>
            </w:pPr>
            <w:r>
              <w:rPr>
                <w:b/>
                <w:sz w:val="18"/>
                <w:szCs w:val="18"/>
                <w:lang w:val="en-ZA"/>
              </w:rPr>
              <w:t xml:space="preserve">Kenyatta International Convention </w:t>
            </w:r>
            <w:proofErr w:type="spellStart"/>
            <w:r>
              <w:rPr>
                <w:b/>
                <w:sz w:val="18"/>
                <w:szCs w:val="18"/>
                <w:lang w:val="en-ZA"/>
              </w:rPr>
              <w:t>Center</w:t>
            </w:r>
            <w:proofErr w:type="spellEnd"/>
            <w:r>
              <w:rPr>
                <w:b/>
                <w:sz w:val="18"/>
                <w:szCs w:val="18"/>
                <w:lang w:val="en-ZA"/>
              </w:rPr>
              <w:t xml:space="preserve"> (</w:t>
            </w:r>
            <w:r w:rsidRPr="00290FDF">
              <w:rPr>
                <w:b/>
                <w:sz w:val="18"/>
                <w:szCs w:val="18"/>
                <w:lang w:val="en-ZA"/>
              </w:rPr>
              <w:t>KICC</w:t>
            </w:r>
            <w:r>
              <w:rPr>
                <w:b/>
                <w:sz w:val="18"/>
                <w:szCs w:val="18"/>
                <w:lang w:val="en-ZA"/>
              </w:rPr>
              <w:t xml:space="preserve">), </w:t>
            </w:r>
            <w:r w:rsidRPr="002167B8">
              <w:rPr>
                <w:sz w:val="18"/>
                <w:szCs w:val="18"/>
                <w:lang w:val="en-ZA"/>
              </w:rPr>
              <w:t>Amphitheatre</w:t>
            </w:r>
            <w:r>
              <w:rPr>
                <w:sz w:val="18"/>
                <w:szCs w:val="18"/>
                <w:lang w:val="en-ZA"/>
              </w:rPr>
              <w:t xml:space="preserve"> Room 5:</w:t>
            </w:r>
            <w:r w:rsidRPr="0038710C">
              <w:rPr>
                <w:sz w:val="18"/>
                <w:szCs w:val="18"/>
                <w:lang w:val="en-ZA"/>
              </w:rPr>
              <w:t>30-6:15 pm</w:t>
            </w:r>
            <w:r>
              <w:rPr>
                <w:sz w:val="18"/>
                <w:szCs w:val="18"/>
                <w:lang w:val="en-ZA"/>
              </w:rPr>
              <w:t xml:space="preserve"> </w:t>
            </w:r>
          </w:p>
        </w:tc>
      </w:tr>
      <w:tr w:rsidR="00D16EA3" w:rsidRPr="0091401B" w14:paraId="53F44E62" w14:textId="77777777" w:rsidTr="00582929">
        <w:trPr>
          <w:trHeight w:val="243"/>
        </w:trPr>
        <w:tc>
          <w:tcPr>
            <w:tcW w:w="824" w:type="dxa"/>
            <w:vMerge w:val="restart"/>
            <w:shd w:val="clear" w:color="auto" w:fill="70AD47" w:themeFill="accent6"/>
          </w:tcPr>
          <w:p w14:paraId="0A284C28" w14:textId="77777777" w:rsidR="00D16EA3" w:rsidRDefault="00D16EA3" w:rsidP="00746F5B">
            <w:pPr>
              <w:tabs>
                <w:tab w:val="left" w:pos="2340"/>
              </w:tabs>
              <w:jc w:val="both"/>
              <w:rPr>
                <w:b/>
                <w:lang w:val="en-ZA"/>
              </w:rPr>
            </w:pPr>
          </w:p>
          <w:p w14:paraId="46FE6070" w14:textId="77777777" w:rsidR="00D16EA3" w:rsidRDefault="00D16EA3" w:rsidP="00746F5B">
            <w:pPr>
              <w:tabs>
                <w:tab w:val="left" w:pos="2340"/>
              </w:tabs>
              <w:jc w:val="both"/>
              <w:rPr>
                <w:b/>
                <w:lang w:val="en-ZA"/>
              </w:rPr>
            </w:pPr>
          </w:p>
          <w:p w14:paraId="27C69496" w14:textId="77777777" w:rsidR="00D16EA3" w:rsidRDefault="00D16EA3" w:rsidP="00746F5B">
            <w:pPr>
              <w:tabs>
                <w:tab w:val="left" w:pos="2340"/>
              </w:tabs>
              <w:jc w:val="both"/>
              <w:rPr>
                <w:b/>
                <w:lang w:val="en-ZA"/>
              </w:rPr>
            </w:pPr>
          </w:p>
          <w:p w14:paraId="083F078D" w14:textId="77777777" w:rsidR="00D16EA3" w:rsidRDefault="00D16EA3" w:rsidP="00746F5B">
            <w:pPr>
              <w:tabs>
                <w:tab w:val="left" w:pos="2340"/>
              </w:tabs>
              <w:jc w:val="both"/>
              <w:rPr>
                <w:b/>
                <w:lang w:val="en-ZA"/>
              </w:rPr>
            </w:pPr>
          </w:p>
          <w:p w14:paraId="75116384" w14:textId="77777777" w:rsidR="00D16EA3" w:rsidRDefault="00D16EA3" w:rsidP="00746F5B">
            <w:pPr>
              <w:tabs>
                <w:tab w:val="left" w:pos="2340"/>
              </w:tabs>
              <w:jc w:val="both"/>
              <w:rPr>
                <w:b/>
                <w:lang w:val="en-ZA"/>
              </w:rPr>
            </w:pPr>
          </w:p>
          <w:p w14:paraId="3723C11B" w14:textId="77777777" w:rsidR="00D16EA3" w:rsidRDefault="00D16EA3" w:rsidP="00746F5B">
            <w:pPr>
              <w:tabs>
                <w:tab w:val="left" w:pos="2340"/>
              </w:tabs>
              <w:jc w:val="both"/>
              <w:rPr>
                <w:b/>
                <w:lang w:val="en-ZA"/>
              </w:rPr>
            </w:pPr>
          </w:p>
          <w:p w14:paraId="71B3EFEA" w14:textId="77777777" w:rsidR="00D16EA3" w:rsidRDefault="00D16EA3" w:rsidP="00746F5B">
            <w:pPr>
              <w:tabs>
                <w:tab w:val="left" w:pos="2340"/>
              </w:tabs>
              <w:jc w:val="both"/>
              <w:rPr>
                <w:b/>
                <w:lang w:val="en-ZA"/>
              </w:rPr>
            </w:pPr>
          </w:p>
          <w:p w14:paraId="1F07CC4F" w14:textId="77777777" w:rsidR="00D16EA3" w:rsidRDefault="00D16EA3" w:rsidP="00746F5B">
            <w:pPr>
              <w:tabs>
                <w:tab w:val="left" w:pos="2340"/>
              </w:tabs>
              <w:jc w:val="both"/>
              <w:rPr>
                <w:b/>
                <w:lang w:val="en-ZA"/>
              </w:rPr>
            </w:pPr>
          </w:p>
          <w:p w14:paraId="0935C68C" w14:textId="77777777" w:rsidR="00D16EA3" w:rsidRDefault="00D16EA3" w:rsidP="00746F5B">
            <w:pPr>
              <w:tabs>
                <w:tab w:val="left" w:pos="2340"/>
              </w:tabs>
              <w:jc w:val="both"/>
              <w:rPr>
                <w:b/>
                <w:lang w:val="en-ZA"/>
              </w:rPr>
            </w:pPr>
          </w:p>
          <w:p w14:paraId="6F0EA626" w14:textId="77777777" w:rsidR="00D16EA3" w:rsidRDefault="00D16EA3" w:rsidP="00746F5B">
            <w:pPr>
              <w:tabs>
                <w:tab w:val="left" w:pos="2340"/>
              </w:tabs>
              <w:jc w:val="both"/>
              <w:rPr>
                <w:b/>
                <w:lang w:val="en-ZA"/>
              </w:rPr>
            </w:pPr>
          </w:p>
          <w:p w14:paraId="2008EFFA" w14:textId="77777777" w:rsidR="00D16EA3" w:rsidRDefault="00D16EA3" w:rsidP="00746F5B">
            <w:pPr>
              <w:tabs>
                <w:tab w:val="left" w:pos="2340"/>
              </w:tabs>
              <w:jc w:val="both"/>
              <w:rPr>
                <w:b/>
                <w:lang w:val="en-ZA"/>
              </w:rPr>
            </w:pPr>
          </w:p>
          <w:p w14:paraId="11EAFA27" w14:textId="77777777" w:rsidR="00D16EA3" w:rsidRPr="00D16EA3" w:rsidRDefault="00D16EA3" w:rsidP="00746F5B">
            <w:pPr>
              <w:tabs>
                <w:tab w:val="left" w:pos="2340"/>
              </w:tabs>
              <w:jc w:val="both"/>
              <w:rPr>
                <w:b/>
                <w:lang w:val="en-ZA"/>
              </w:rPr>
            </w:pPr>
            <w:r w:rsidRPr="00D16EA3">
              <w:rPr>
                <w:b/>
                <w:lang w:val="en-ZA"/>
              </w:rPr>
              <w:t>1 DEC</w:t>
            </w:r>
          </w:p>
        </w:tc>
        <w:tc>
          <w:tcPr>
            <w:tcW w:w="10340" w:type="dxa"/>
            <w:shd w:val="clear" w:color="auto" w:fill="E2EFD9" w:themeFill="accent6" w:themeFillTint="33"/>
          </w:tcPr>
          <w:p w14:paraId="255950D3" w14:textId="6DE14EDA" w:rsidR="00826057" w:rsidRDefault="00D16EA3" w:rsidP="00D16EA3">
            <w:pPr>
              <w:rPr>
                <w:b/>
                <w:sz w:val="18"/>
                <w:szCs w:val="18"/>
                <w:lang w:val="en-ZA"/>
              </w:rPr>
            </w:pPr>
            <w:r w:rsidRPr="00D16EA3">
              <w:rPr>
                <w:b/>
                <w:sz w:val="18"/>
                <w:szCs w:val="18"/>
                <w:lang w:val="en-ZA"/>
              </w:rPr>
              <w:lastRenderedPageBreak/>
              <w:t xml:space="preserve">Monitoring and evaluation of South-South cooperation: alternative and </w:t>
            </w:r>
            <w:r w:rsidR="00826057">
              <w:rPr>
                <w:b/>
                <w:sz w:val="18"/>
                <w:szCs w:val="18"/>
                <w:lang w:val="en-ZA"/>
              </w:rPr>
              <w:t>complementary frameworks</w:t>
            </w:r>
            <w:r w:rsidR="00675E81">
              <w:rPr>
                <w:b/>
                <w:sz w:val="18"/>
                <w:szCs w:val="18"/>
                <w:lang w:val="en-ZA"/>
              </w:rPr>
              <w:t xml:space="preserve"> </w:t>
            </w:r>
          </w:p>
          <w:p w14:paraId="1F3DD8B5" w14:textId="39BDC0EB" w:rsidR="00826057" w:rsidRDefault="00826057" w:rsidP="00D16EA3">
            <w:pPr>
              <w:rPr>
                <w:b/>
                <w:sz w:val="18"/>
                <w:szCs w:val="18"/>
                <w:lang w:val="en-ZA"/>
              </w:rPr>
            </w:pPr>
            <w:r w:rsidRPr="00582929">
              <w:rPr>
                <w:b/>
                <w:sz w:val="18"/>
                <w:szCs w:val="18"/>
                <w:lang w:val="en-ZA"/>
              </w:rPr>
              <w:t xml:space="preserve">(Side-event </w:t>
            </w:r>
            <w:r>
              <w:rPr>
                <w:b/>
                <w:sz w:val="18"/>
                <w:szCs w:val="18"/>
                <w:lang w:val="en-ZA"/>
              </w:rPr>
              <w:t xml:space="preserve">during </w:t>
            </w:r>
            <w:r w:rsidRPr="00582929">
              <w:rPr>
                <w:b/>
                <w:sz w:val="18"/>
                <w:szCs w:val="18"/>
                <w:lang w:val="en-ZA"/>
              </w:rPr>
              <w:t>HLM</w:t>
            </w:r>
            <w:r>
              <w:rPr>
                <w:b/>
                <w:sz w:val="18"/>
                <w:szCs w:val="18"/>
                <w:lang w:val="en-ZA"/>
              </w:rPr>
              <w:t>2)</w:t>
            </w:r>
          </w:p>
          <w:p w14:paraId="447D2A23" w14:textId="77777777" w:rsidR="00D16EA3" w:rsidRDefault="00D16EA3" w:rsidP="00D16EA3">
            <w:pPr>
              <w:rPr>
                <w:b/>
                <w:sz w:val="18"/>
                <w:szCs w:val="18"/>
                <w:lang w:val="en-ZA"/>
              </w:rPr>
            </w:pPr>
          </w:p>
          <w:p w14:paraId="10C665A5" w14:textId="69273205" w:rsidR="00D16EA3" w:rsidRDefault="00D16EA3" w:rsidP="00D16EA3">
            <w:pPr>
              <w:jc w:val="both"/>
              <w:rPr>
                <w:sz w:val="18"/>
                <w:szCs w:val="18"/>
                <w:lang w:val="en-ZA"/>
              </w:rPr>
            </w:pPr>
            <w:r w:rsidRPr="00267B79">
              <w:rPr>
                <w:sz w:val="18"/>
                <w:szCs w:val="18"/>
                <w:lang w:val="en-ZA"/>
              </w:rPr>
              <w:t xml:space="preserve">Providers of South-South cooperation (SSC) have repeatedly voiced their unease with using the OECD-DAC and GPEDC frameworks to measure the effectiveness of SSC. Nonetheless, Southern partners have also been concerned with improving evidence, generating knowledge and learning, increasing accountability, monitoring and evaluating of SSC and its contribution to the SDGs.  </w:t>
            </w:r>
            <w:r>
              <w:rPr>
                <w:sz w:val="18"/>
                <w:szCs w:val="18"/>
                <w:lang w:val="en-ZA"/>
              </w:rPr>
              <w:t xml:space="preserve"> </w:t>
            </w:r>
            <w:r w:rsidRPr="00267B79">
              <w:rPr>
                <w:sz w:val="18"/>
                <w:szCs w:val="18"/>
                <w:lang w:val="en-ZA"/>
              </w:rPr>
              <w:t xml:space="preserve">Between 2015 and 2016 the Network of Southern Think Tanks (NeST) has developed, tested and refined a new framework to measure the quantity, quality and impact of SSC towards sustainable development. As part of this framework, principles emerging out of historical conferences of the global South (Bandung, 1955, Buenos Aires, 1978, Nairobi, 2009, Bogota, 2010, Delhi, 2013) have been distilled into 20 operational indicators, organised in 5 dimensions, to measure the quality of South-South partnerships and processes. This side-event will be an opportunity for NeST to present and discuss some of these alternative monitoring and evaluation systems found more appropriate </w:t>
            </w:r>
            <w:r w:rsidR="0017237B">
              <w:rPr>
                <w:sz w:val="18"/>
                <w:szCs w:val="18"/>
                <w:lang w:val="en-ZA"/>
              </w:rPr>
              <w:t>for</w:t>
            </w:r>
            <w:r w:rsidRPr="00267B79">
              <w:rPr>
                <w:sz w:val="18"/>
                <w:szCs w:val="18"/>
                <w:lang w:val="en-ZA"/>
              </w:rPr>
              <w:t xml:space="preserve"> SSC.</w:t>
            </w:r>
          </w:p>
          <w:p w14:paraId="70147BEC" w14:textId="77777777" w:rsidR="00826057" w:rsidRDefault="00826057" w:rsidP="00D16EA3">
            <w:pPr>
              <w:jc w:val="both"/>
              <w:rPr>
                <w:sz w:val="18"/>
                <w:szCs w:val="18"/>
                <w:lang w:val="en-ZA"/>
              </w:rPr>
            </w:pPr>
          </w:p>
          <w:p w14:paraId="2636381F" w14:textId="33093153" w:rsidR="00D16EA3" w:rsidRPr="00826057" w:rsidRDefault="00826057" w:rsidP="00826057">
            <w:pPr>
              <w:rPr>
                <w:b/>
                <w:sz w:val="18"/>
                <w:szCs w:val="18"/>
                <w:lang w:val="en-ZA"/>
              </w:rPr>
            </w:pPr>
            <w:r w:rsidRPr="00D16EA3">
              <w:rPr>
                <w:b/>
                <w:sz w:val="18"/>
                <w:szCs w:val="18"/>
                <w:lang w:val="en-ZA"/>
              </w:rPr>
              <w:t>(organisers: NeST</w:t>
            </w:r>
            <w:r>
              <w:rPr>
                <w:b/>
                <w:sz w:val="18"/>
                <w:szCs w:val="18"/>
                <w:lang w:val="en-ZA"/>
              </w:rPr>
              <w:t xml:space="preserve"> Africa</w:t>
            </w:r>
            <w:r w:rsidRPr="00D16EA3">
              <w:rPr>
                <w:b/>
                <w:sz w:val="18"/>
                <w:szCs w:val="18"/>
                <w:lang w:val="en-ZA"/>
              </w:rPr>
              <w:t>,</w:t>
            </w:r>
            <w:r>
              <w:rPr>
                <w:b/>
                <w:sz w:val="18"/>
                <w:szCs w:val="18"/>
                <w:lang w:val="en-ZA"/>
              </w:rPr>
              <w:t xml:space="preserve"> </w:t>
            </w:r>
            <w:r w:rsidRPr="00D16EA3">
              <w:rPr>
                <w:b/>
                <w:sz w:val="18"/>
                <w:szCs w:val="18"/>
                <w:lang w:val="en-ZA"/>
              </w:rPr>
              <w:t>Oxfam,</w:t>
            </w:r>
            <w:r>
              <w:rPr>
                <w:b/>
                <w:sz w:val="18"/>
                <w:szCs w:val="18"/>
                <w:lang w:val="en-ZA"/>
              </w:rPr>
              <w:t xml:space="preserve"> UNDP</w:t>
            </w:r>
            <w:r w:rsidRPr="00D16EA3">
              <w:rPr>
                <w:b/>
                <w:sz w:val="18"/>
                <w:szCs w:val="18"/>
                <w:lang w:val="en-ZA"/>
              </w:rPr>
              <w:t>)</w:t>
            </w:r>
          </w:p>
          <w:p w14:paraId="0913B430" w14:textId="37DC6B8A" w:rsidR="00D16EA3" w:rsidRPr="00D16EA3" w:rsidRDefault="00D16EA3" w:rsidP="00342DD0">
            <w:pPr>
              <w:rPr>
                <w:b/>
                <w:sz w:val="18"/>
                <w:szCs w:val="18"/>
                <w:lang w:val="en-ZA"/>
              </w:rPr>
            </w:pPr>
            <w:r w:rsidRPr="00D16EA3">
              <w:rPr>
                <w:b/>
                <w:sz w:val="18"/>
                <w:szCs w:val="18"/>
                <w:lang w:val="en-ZA"/>
              </w:rPr>
              <w:t xml:space="preserve">Kenyatta International Convention </w:t>
            </w:r>
            <w:proofErr w:type="spellStart"/>
            <w:r w:rsidRPr="00D16EA3">
              <w:rPr>
                <w:b/>
                <w:sz w:val="18"/>
                <w:szCs w:val="18"/>
                <w:lang w:val="en-ZA"/>
              </w:rPr>
              <w:t>Center</w:t>
            </w:r>
            <w:proofErr w:type="spellEnd"/>
            <w:r w:rsidRPr="00D16EA3">
              <w:rPr>
                <w:b/>
                <w:sz w:val="18"/>
                <w:szCs w:val="18"/>
                <w:lang w:val="en-ZA"/>
              </w:rPr>
              <w:t xml:space="preserve"> (KICC), </w:t>
            </w:r>
            <w:proofErr w:type="spellStart"/>
            <w:r w:rsidRPr="0038710C">
              <w:rPr>
                <w:sz w:val="18"/>
                <w:szCs w:val="18"/>
                <w:lang w:val="en-ZA"/>
              </w:rPr>
              <w:t>Shimba</w:t>
            </w:r>
            <w:proofErr w:type="spellEnd"/>
            <w:r w:rsidRPr="0038710C">
              <w:rPr>
                <w:sz w:val="18"/>
                <w:szCs w:val="18"/>
                <w:lang w:val="en-ZA"/>
              </w:rPr>
              <w:t xml:space="preserve"> Hills</w:t>
            </w:r>
            <w:r>
              <w:rPr>
                <w:sz w:val="18"/>
                <w:szCs w:val="18"/>
                <w:lang w:val="en-ZA"/>
              </w:rPr>
              <w:t xml:space="preserve"> Room</w:t>
            </w:r>
            <w:r>
              <w:rPr>
                <w:b/>
                <w:sz w:val="18"/>
                <w:szCs w:val="18"/>
                <w:lang w:val="en-ZA"/>
              </w:rPr>
              <w:t xml:space="preserve">, </w:t>
            </w:r>
            <w:r w:rsidRPr="0038710C">
              <w:rPr>
                <w:sz w:val="18"/>
                <w:szCs w:val="18"/>
                <w:lang w:val="en-ZA"/>
              </w:rPr>
              <w:t>7:30- 8:30 am</w:t>
            </w:r>
            <w:r>
              <w:rPr>
                <w:sz w:val="18"/>
                <w:szCs w:val="18"/>
                <w:lang w:val="en-ZA"/>
              </w:rPr>
              <w:t xml:space="preserve"> </w:t>
            </w:r>
          </w:p>
        </w:tc>
      </w:tr>
      <w:tr w:rsidR="00D16EA3" w:rsidRPr="00D16EA3" w14:paraId="3DA5B618" w14:textId="77777777" w:rsidTr="00582929">
        <w:trPr>
          <w:trHeight w:val="243"/>
        </w:trPr>
        <w:tc>
          <w:tcPr>
            <w:tcW w:w="824" w:type="dxa"/>
            <w:vMerge/>
            <w:shd w:val="clear" w:color="auto" w:fill="70AD47" w:themeFill="accent6"/>
          </w:tcPr>
          <w:p w14:paraId="7A0996D4" w14:textId="77777777" w:rsidR="00D16EA3" w:rsidRPr="00D16EA3" w:rsidRDefault="00D16EA3" w:rsidP="00746F5B">
            <w:pPr>
              <w:tabs>
                <w:tab w:val="left" w:pos="2340"/>
              </w:tabs>
              <w:jc w:val="both"/>
              <w:rPr>
                <w:b/>
                <w:lang w:val="en-ZA"/>
              </w:rPr>
            </w:pPr>
          </w:p>
        </w:tc>
        <w:tc>
          <w:tcPr>
            <w:tcW w:w="10340" w:type="dxa"/>
            <w:shd w:val="clear" w:color="auto" w:fill="E2EFD9" w:themeFill="accent6" w:themeFillTint="33"/>
          </w:tcPr>
          <w:p w14:paraId="3E8C7DC3" w14:textId="77777777" w:rsidR="00826057" w:rsidRDefault="00D16EA3" w:rsidP="00D16EA3">
            <w:pPr>
              <w:rPr>
                <w:b/>
                <w:sz w:val="18"/>
                <w:szCs w:val="18"/>
                <w:lang w:val="en-ZA"/>
              </w:rPr>
            </w:pPr>
            <w:r w:rsidRPr="00826057">
              <w:rPr>
                <w:b/>
                <w:sz w:val="18"/>
                <w:szCs w:val="18"/>
                <w:lang w:val="en-ZA"/>
              </w:rPr>
              <w:t xml:space="preserve">Transparency and Accountability of Development Finance Reporting: Can a framework such as TOSSD support the monitoring of financing to the SDGs? </w:t>
            </w:r>
          </w:p>
          <w:p w14:paraId="5CEC2DA3" w14:textId="0717C2E2" w:rsidR="00D16EA3" w:rsidRPr="00826057" w:rsidRDefault="00D16EA3" w:rsidP="00D16EA3">
            <w:pPr>
              <w:rPr>
                <w:b/>
                <w:sz w:val="18"/>
                <w:szCs w:val="18"/>
                <w:lang w:val="en-ZA"/>
              </w:rPr>
            </w:pPr>
            <w:r w:rsidRPr="00826057">
              <w:rPr>
                <w:b/>
                <w:sz w:val="18"/>
                <w:szCs w:val="18"/>
                <w:lang w:val="en-ZA"/>
              </w:rPr>
              <w:t>(Side-event</w:t>
            </w:r>
            <w:r w:rsidR="00826057">
              <w:rPr>
                <w:b/>
                <w:sz w:val="18"/>
                <w:szCs w:val="18"/>
                <w:lang w:val="en-ZA"/>
              </w:rPr>
              <w:t xml:space="preserve"> during the</w:t>
            </w:r>
            <w:r w:rsidRPr="00826057">
              <w:rPr>
                <w:b/>
                <w:sz w:val="18"/>
                <w:szCs w:val="18"/>
                <w:lang w:val="en-ZA"/>
              </w:rPr>
              <w:t xml:space="preserve"> HLM</w:t>
            </w:r>
            <w:r w:rsidR="00826057">
              <w:rPr>
                <w:b/>
                <w:sz w:val="18"/>
                <w:szCs w:val="18"/>
                <w:lang w:val="en-ZA"/>
              </w:rPr>
              <w:t xml:space="preserve">2) </w:t>
            </w:r>
            <w:r w:rsidRPr="00826057">
              <w:rPr>
                <w:b/>
                <w:sz w:val="18"/>
                <w:szCs w:val="18"/>
                <w:lang w:val="en-ZA"/>
              </w:rPr>
              <w:t xml:space="preserve"> </w:t>
            </w:r>
          </w:p>
          <w:p w14:paraId="6B9FB256" w14:textId="77777777" w:rsidR="00D16EA3" w:rsidRDefault="00D16EA3" w:rsidP="00D16EA3">
            <w:pPr>
              <w:rPr>
                <w:sz w:val="18"/>
                <w:szCs w:val="18"/>
                <w:lang w:val="en-ZA"/>
              </w:rPr>
            </w:pPr>
          </w:p>
          <w:p w14:paraId="68896B33" w14:textId="7E9975AB" w:rsidR="00D16EA3" w:rsidRDefault="00D16EA3" w:rsidP="00D16EA3">
            <w:pPr>
              <w:rPr>
                <w:sz w:val="18"/>
                <w:szCs w:val="18"/>
                <w:lang w:val="en-ZA"/>
              </w:rPr>
            </w:pPr>
            <w:r w:rsidRPr="00CB6437">
              <w:rPr>
                <w:sz w:val="18"/>
                <w:szCs w:val="18"/>
                <w:lang w:val="en-ZA"/>
              </w:rPr>
              <w:t>The side event will attract approximately 100 participants from existing N</w:t>
            </w:r>
            <w:r>
              <w:rPr>
                <w:sz w:val="18"/>
                <w:szCs w:val="18"/>
                <w:lang w:val="en-ZA"/>
              </w:rPr>
              <w:t xml:space="preserve">eST Africa and TOSSD networks, </w:t>
            </w:r>
            <w:r w:rsidRPr="00CB6437">
              <w:rPr>
                <w:sz w:val="18"/>
                <w:szCs w:val="18"/>
                <w:lang w:val="en-ZA"/>
              </w:rPr>
              <w:t xml:space="preserve">including provider and recipient countries, think tanks, multilateral organisations, CSOs and </w:t>
            </w:r>
            <w:r>
              <w:rPr>
                <w:sz w:val="18"/>
                <w:szCs w:val="18"/>
                <w:lang w:val="en-ZA"/>
              </w:rPr>
              <w:t xml:space="preserve">the private sector. It aims to </w:t>
            </w:r>
            <w:r w:rsidR="0017237B">
              <w:rPr>
                <w:sz w:val="18"/>
                <w:szCs w:val="18"/>
                <w:lang w:val="en-ZA"/>
              </w:rPr>
              <w:t>provide an open platform for debate among Northern and Southern actors on</w:t>
            </w:r>
            <w:r w:rsidRPr="00CB6437">
              <w:rPr>
                <w:sz w:val="18"/>
                <w:szCs w:val="18"/>
                <w:lang w:val="en-ZA"/>
              </w:rPr>
              <w:t xml:space="preserve"> what appropriate development finance measure can be deve</w:t>
            </w:r>
            <w:r>
              <w:rPr>
                <w:sz w:val="18"/>
                <w:szCs w:val="18"/>
                <w:lang w:val="en-ZA"/>
              </w:rPr>
              <w:t xml:space="preserve">loped to take into account the </w:t>
            </w:r>
            <w:r w:rsidRPr="00CB6437">
              <w:rPr>
                <w:sz w:val="18"/>
                <w:szCs w:val="18"/>
                <w:lang w:val="en-ZA"/>
              </w:rPr>
              <w:t>views of all development partners, thereby enhancing the relevance and credibility of a</w:t>
            </w:r>
            <w:r>
              <w:rPr>
                <w:sz w:val="18"/>
                <w:szCs w:val="18"/>
                <w:lang w:val="en-ZA"/>
              </w:rPr>
              <w:t xml:space="preserve"> potential global standard for </w:t>
            </w:r>
            <w:r w:rsidRPr="00CB6437">
              <w:rPr>
                <w:sz w:val="18"/>
                <w:szCs w:val="18"/>
                <w:lang w:val="en-ZA"/>
              </w:rPr>
              <w:t>tracking the scope and reach of development finance</w:t>
            </w:r>
            <w:r>
              <w:rPr>
                <w:sz w:val="18"/>
                <w:szCs w:val="18"/>
                <w:lang w:val="en-ZA"/>
              </w:rPr>
              <w:t>.</w:t>
            </w:r>
          </w:p>
          <w:p w14:paraId="7AE27B56" w14:textId="77777777" w:rsidR="00D16EA3" w:rsidRDefault="00D16EA3" w:rsidP="00D16EA3">
            <w:pPr>
              <w:rPr>
                <w:sz w:val="18"/>
                <w:szCs w:val="18"/>
                <w:lang w:val="en-ZA"/>
              </w:rPr>
            </w:pPr>
          </w:p>
          <w:p w14:paraId="359C1060" w14:textId="3F2CF629" w:rsidR="00826057" w:rsidRDefault="00826057" w:rsidP="00D16EA3">
            <w:pPr>
              <w:rPr>
                <w:sz w:val="18"/>
                <w:szCs w:val="18"/>
                <w:lang w:val="en-ZA"/>
              </w:rPr>
            </w:pPr>
            <w:r>
              <w:rPr>
                <w:b/>
                <w:sz w:val="18"/>
                <w:szCs w:val="18"/>
                <w:lang w:val="en-ZA"/>
              </w:rPr>
              <w:t>(</w:t>
            </w:r>
            <w:r w:rsidRPr="00826057">
              <w:rPr>
                <w:b/>
                <w:sz w:val="18"/>
                <w:szCs w:val="18"/>
                <w:lang w:val="en-ZA"/>
              </w:rPr>
              <w:t>organisers: NeST Africa, OECD DAC Secretariat)</w:t>
            </w:r>
          </w:p>
          <w:p w14:paraId="5DA27D17" w14:textId="2821E860" w:rsidR="00D16EA3" w:rsidRPr="00D16EA3" w:rsidRDefault="00D16EA3" w:rsidP="00342DD0">
            <w:pPr>
              <w:rPr>
                <w:b/>
                <w:sz w:val="18"/>
                <w:szCs w:val="18"/>
                <w:lang w:val="en-ZA"/>
              </w:rPr>
            </w:pPr>
            <w:r w:rsidRPr="00D16EA3">
              <w:rPr>
                <w:b/>
                <w:sz w:val="18"/>
                <w:szCs w:val="18"/>
                <w:lang w:val="en-ZA"/>
              </w:rPr>
              <w:t xml:space="preserve">Kenyatta International Convention </w:t>
            </w:r>
            <w:proofErr w:type="spellStart"/>
            <w:r w:rsidRPr="00D16EA3">
              <w:rPr>
                <w:b/>
                <w:sz w:val="18"/>
                <w:szCs w:val="18"/>
                <w:lang w:val="en-ZA"/>
              </w:rPr>
              <w:t>Center</w:t>
            </w:r>
            <w:proofErr w:type="spellEnd"/>
            <w:r w:rsidRPr="00D16EA3">
              <w:rPr>
                <w:b/>
                <w:sz w:val="18"/>
                <w:szCs w:val="18"/>
                <w:lang w:val="en-ZA"/>
              </w:rPr>
              <w:t xml:space="preserve"> </w:t>
            </w:r>
            <w:r>
              <w:rPr>
                <w:b/>
                <w:sz w:val="18"/>
                <w:szCs w:val="18"/>
                <w:lang w:val="en-ZA"/>
              </w:rPr>
              <w:t>(</w:t>
            </w:r>
            <w:r w:rsidRPr="00290FDF">
              <w:rPr>
                <w:b/>
                <w:sz w:val="18"/>
                <w:szCs w:val="18"/>
                <w:lang w:val="en-ZA"/>
              </w:rPr>
              <w:t>KICC</w:t>
            </w:r>
            <w:r>
              <w:rPr>
                <w:b/>
                <w:sz w:val="18"/>
                <w:szCs w:val="18"/>
                <w:lang w:val="en-ZA"/>
              </w:rPr>
              <w:t xml:space="preserve">), </w:t>
            </w:r>
            <w:proofErr w:type="spellStart"/>
            <w:r w:rsidRPr="0038710C">
              <w:rPr>
                <w:sz w:val="18"/>
                <w:szCs w:val="18"/>
                <w:lang w:val="en-ZA"/>
              </w:rPr>
              <w:t>Aberdares</w:t>
            </w:r>
            <w:proofErr w:type="spellEnd"/>
            <w:r>
              <w:rPr>
                <w:sz w:val="18"/>
                <w:szCs w:val="18"/>
                <w:lang w:val="en-ZA"/>
              </w:rPr>
              <w:t xml:space="preserve"> Room</w:t>
            </w:r>
            <w:r>
              <w:rPr>
                <w:b/>
                <w:sz w:val="18"/>
                <w:szCs w:val="18"/>
                <w:lang w:val="en-ZA"/>
              </w:rPr>
              <w:t xml:space="preserve">, </w:t>
            </w:r>
            <w:r w:rsidRPr="0038710C">
              <w:rPr>
                <w:sz w:val="18"/>
                <w:szCs w:val="18"/>
                <w:lang w:val="en-ZA"/>
              </w:rPr>
              <w:t>12:00- 1:00 pm</w:t>
            </w:r>
            <w:r>
              <w:rPr>
                <w:sz w:val="18"/>
                <w:szCs w:val="18"/>
                <w:lang w:val="en-ZA"/>
              </w:rPr>
              <w:t xml:space="preserve">  </w:t>
            </w:r>
          </w:p>
        </w:tc>
      </w:tr>
    </w:tbl>
    <w:p w14:paraId="19478F49" w14:textId="77777777" w:rsidR="00D16EA3" w:rsidRDefault="00D16EA3" w:rsidP="00746F5B">
      <w:pPr>
        <w:tabs>
          <w:tab w:val="left" w:pos="2340"/>
        </w:tabs>
        <w:jc w:val="both"/>
        <w:rPr>
          <w:lang w:val="en-ZA"/>
        </w:rPr>
      </w:pPr>
    </w:p>
    <w:p w14:paraId="6950B1D1" w14:textId="0E88233D" w:rsidR="00271FDB" w:rsidRPr="00D16EA3" w:rsidRDefault="00271FDB" w:rsidP="00746F5B">
      <w:pPr>
        <w:tabs>
          <w:tab w:val="left" w:pos="2340"/>
        </w:tabs>
        <w:jc w:val="both"/>
        <w:rPr>
          <w:rFonts w:ascii="Arial" w:hAnsi="Arial" w:cs="Arial"/>
          <w:color w:val="222222"/>
          <w:sz w:val="19"/>
          <w:szCs w:val="19"/>
          <w:shd w:val="clear" w:color="auto" w:fill="FFFFFF"/>
          <w:lang w:val="en-ZA"/>
        </w:rPr>
      </w:pPr>
    </w:p>
    <w:sectPr w:rsidR="00271FDB" w:rsidRPr="00D16EA3" w:rsidSect="00746F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DB"/>
    <w:rsid w:val="00007079"/>
    <w:rsid w:val="000517C9"/>
    <w:rsid w:val="000558EA"/>
    <w:rsid w:val="00063CD0"/>
    <w:rsid w:val="0017237B"/>
    <w:rsid w:val="0019375C"/>
    <w:rsid w:val="00271FDB"/>
    <w:rsid w:val="00342DD0"/>
    <w:rsid w:val="0058289B"/>
    <w:rsid w:val="00582929"/>
    <w:rsid w:val="00673FEE"/>
    <w:rsid w:val="00675E81"/>
    <w:rsid w:val="006B3EC0"/>
    <w:rsid w:val="006F1801"/>
    <w:rsid w:val="00746F5B"/>
    <w:rsid w:val="00826057"/>
    <w:rsid w:val="0091401B"/>
    <w:rsid w:val="00B574F9"/>
    <w:rsid w:val="00D16EA3"/>
    <w:rsid w:val="00D856EA"/>
    <w:rsid w:val="00DB325B"/>
    <w:rsid w:val="00EF39CA"/>
    <w:rsid w:val="00F00522"/>
    <w:rsid w:val="00F968F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1FDB"/>
    <w:rPr>
      <w:sz w:val="16"/>
      <w:szCs w:val="16"/>
    </w:rPr>
  </w:style>
  <w:style w:type="paragraph" w:styleId="CommentText">
    <w:name w:val="annotation text"/>
    <w:basedOn w:val="Normal"/>
    <w:link w:val="CommentTextChar"/>
    <w:uiPriority w:val="99"/>
    <w:semiHidden/>
    <w:unhideWhenUsed/>
    <w:rsid w:val="00271FDB"/>
    <w:pPr>
      <w:spacing w:line="240" w:lineRule="auto"/>
    </w:pPr>
    <w:rPr>
      <w:sz w:val="20"/>
      <w:szCs w:val="20"/>
    </w:rPr>
  </w:style>
  <w:style w:type="character" w:customStyle="1" w:styleId="CommentTextChar">
    <w:name w:val="Comment Text Char"/>
    <w:basedOn w:val="DefaultParagraphFont"/>
    <w:link w:val="CommentText"/>
    <w:uiPriority w:val="99"/>
    <w:semiHidden/>
    <w:rsid w:val="00271FDB"/>
    <w:rPr>
      <w:sz w:val="20"/>
      <w:szCs w:val="20"/>
    </w:rPr>
  </w:style>
  <w:style w:type="paragraph" w:styleId="CommentSubject">
    <w:name w:val="annotation subject"/>
    <w:basedOn w:val="CommentText"/>
    <w:next w:val="CommentText"/>
    <w:link w:val="CommentSubjectChar"/>
    <w:uiPriority w:val="99"/>
    <w:semiHidden/>
    <w:unhideWhenUsed/>
    <w:rsid w:val="00271FDB"/>
    <w:rPr>
      <w:b/>
      <w:bCs/>
    </w:rPr>
  </w:style>
  <w:style w:type="character" w:customStyle="1" w:styleId="CommentSubjectChar">
    <w:name w:val="Comment Subject Char"/>
    <w:basedOn w:val="CommentTextChar"/>
    <w:link w:val="CommentSubject"/>
    <w:uiPriority w:val="99"/>
    <w:semiHidden/>
    <w:rsid w:val="00271FDB"/>
    <w:rPr>
      <w:b/>
      <w:bCs/>
      <w:sz w:val="20"/>
      <w:szCs w:val="20"/>
    </w:rPr>
  </w:style>
  <w:style w:type="paragraph" w:styleId="BalloonText">
    <w:name w:val="Balloon Text"/>
    <w:basedOn w:val="Normal"/>
    <w:link w:val="BalloonTextChar"/>
    <w:uiPriority w:val="99"/>
    <w:semiHidden/>
    <w:unhideWhenUsed/>
    <w:rsid w:val="00271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FDB"/>
    <w:rPr>
      <w:rFonts w:ascii="Segoe UI" w:hAnsi="Segoe UI" w:cs="Segoe UI"/>
      <w:sz w:val="18"/>
      <w:szCs w:val="18"/>
    </w:rPr>
  </w:style>
  <w:style w:type="character" w:styleId="Hyperlink">
    <w:name w:val="Hyperlink"/>
    <w:basedOn w:val="DefaultParagraphFont"/>
    <w:uiPriority w:val="99"/>
    <w:unhideWhenUsed/>
    <w:rsid w:val="00271FDB"/>
    <w:rPr>
      <w:color w:val="0563C1" w:themeColor="hyperlink"/>
      <w:u w:val="single"/>
    </w:rPr>
  </w:style>
  <w:style w:type="table" w:styleId="TableGrid">
    <w:name w:val="Table Grid"/>
    <w:basedOn w:val="TableNormal"/>
    <w:uiPriority w:val="39"/>
    <w:rsid w:val="0074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aliases w:val="Dot pt,List Paragraph1,Colorful List - Accent 11,No Spacing1,List Paragraph Char Char Char,Indicator Text,Numbered Para 1,Bullet 1,F5 List Paragraph,Bullet Points,Normal Fv,lp1,Numbered Paragraph,Main numbered paragraph"/>
    <w:basedOn w:val="Normal"/>
    <w:link w:val="Cuadrculamedia1-nfasis2Car"/>
    <w:uiPriority w:val="34"/>
    <w:qFormat/>
    <w:rsid w:val="00746F5B"/>
    <w:pPr>
      <w:spacing w:after="200" w:line="276" w:lineRule="auto"/>
      <w:ind w:left="720"/>
      <w:contextualSpacing/>
    </w:pPr>
    <w:rPr>
      <w:rFonts w:ascii="Calibri" w:eastAsia="SimSun" w:hAnsi="Calibri" w:cs="Arial"/>
      <w:lang w:eastAsia="es-MX"/>
    </w:rPr>
  </w:style>
  <w:style w:type="character" w:customStyle="1" w:styleId="Cuadrculamedia1-nfasis2Car">
    <w:name w:val="Cuadrícula media 1 - Énfasis 2 Car"/>
    <w:aliases w:val="Dot pt Car,List Paragraph1 Car,Colorful List - Accent 11 Car,No Spacing1 Car,List Paragraph Char Char Char Car,Indicator Text Car,Numbered Para 1 Car,Bullet 1 Car,F5 List Paragraph Car,Bullet Points Car,Normal Fv Car"/>
    <w:basedOn w:val="DefaultParagraphFont"/>
    <w:link w:val="Cuadrculamedia1-nfasis21"/>
    <w:uiPriority w:val="34"/>
    <w:qFormat/>
    <w:locked/>
    <w:rsid w:val="00746F5B"/>
    <w:rPr>
      <w:rFonts w:ascii="Calibri" w:eastAsia="SimSun" w:hAnsi="Calibri"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1FDB"/>
    <w:rPr>
      <w:sz w:val="16"/>
      <w:szCs w:val="16"/>
    </w:rPr>
  </w:style>
  <w:style w:type="paragraph" w:styleId="CommentText">
    <w:name w:val="annotation text"/>
    <w:basedOn w:val="Normal"/>
    <w:link w:val="CommentTextChar"/>
    <w:uiPriority w:val="99"/>
    <w:semiHidden/>
    <w:unhideWhenUsed/>
    <w:rsid w:val="00271FDB"/>
    <w:pPr>
      <w:spacing w:line="240" w:lineRule="auto"/>
    </w:pPr>
    <w:rPr>
      <w:sz w:val="20"/>
      <w:szCs w:val="20"/>
    </w:rPr>
  </w:style>
  <w:style w:type="character" w:customStyle="1" w:styleId="CommentTextChar">
    <w:name w:val="Comment Text Char"/>
    <w:basedOn w:val="DefaultParagraphFont"/>
    <w:link w:val="CommentText"/>
    <w:uiPriority w:val="99"/>
    <w:semiHidden/>
    <w:rsid w:val="00271FDB"/>
    <w:rPr>
      <w:sz w:val="20"/>
      <w:szCs w:val="20"/>
    </w:rPr>
  </w:style>
  <w:style w:type="paragraph" w:styleId="CommentSubject">
    <w:name w:val="annotation subject"/>
    <w:basedOn w:val="CommentText"/>
    <w:next w:val="CommentText"/>
    <w:link w:val="CommentSubjectChar"/>
    <w:uiPriority w:val="99"/>
    <w:semiHidden/>
    <w:unhideWhenUsed/>
    <w:rsid w:val="00271FDB"/>
    <w:rPr>
      <w:b/>
      <w:bCs/>
    </w:rPr>
  </w:style>
  <w:style w:type="character" w:customStyle="1" w:styleId="CommentSubjectChar">
    <w:name w:val="Comment Subject Char"/>
    <w:basedOn w:val="CommentTextChar"/>
    <w:link w:val="CommentSubject"/>
    <w:uiPriority w:val="99"/>
    <w:semiHidden/>
    <w:rsid w:val="00271FDB"/>
    <w:rPr>
      <w:b/>
      <w:bCs/>
      <w:sz w:val="20"/>
      <w:szCs w:val="20"/>
    </w:rPr>
  </w:style>
  <w:style w:type="paragraph" w:styleId="BalloonText">
    <w:name w:val="Balloon Text"/>
    <w:basedOn w:val="Normal"/>
    <w:link w:val="BalloonTextChar"/>
    <w:uiPriority w:val="99"/>
    <w:semiHidden/>
    <w:unhideWhenUsed/>
    <w:rsid w:val="00271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FDB"/>
    <w:rPr>
      <w:rFonts w:ascii="Segoe UI" w:hAnsi="Segoe UI" w:cs="Segoe UI"/>
      <w:sz w:val="18"/>
      <w:szCs w:val="18"/>
    </w:rPr>
  </w:style>
  <w:style w:type="character" w:styleId="Hyperlink">
    <w:name w:val="Hyperlink"/>
    <w:basedOn w:val="DefaultParagraphFont"/>
    <w:uiPriority w:val="99"/>
    <w:unhideWhenUsed/>
    <w:rsid w:val="00271FDB"/>
    <w:rPr>
      <w:color w:val="0563C1" w:themeColor="hyperlink"/>
      <w:u w:val="single"/>
    </w:rPr>
  </w:style>
  <w:style w:type="table" w:styleId="TableGrid">
    <w:name w:val="Table Grid"/>
    <w:basedOn w:val="TableNormal"/>
    <w:uiPriority w:val="39"/>
    <w:rsid w:val="0074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aliases w:val="Dot pt,List Paragraph1,Colorful List - Accent 11,No Spacing1,List Paragraph Char Char Char,Indicator Text,Numbered Para 1,Bullet 1,F5 List Paragraph,Bullet Points,Normal Fv,lp1,Numbered Paragraph,Main numbered paragraph"/>
    <w:basedOn w:val="Normal"/>
    <w:link w:val="Cuadrculamedia1-nfasis2Car"/>
    <w:uiPriority w:val="34"/>
    <w:qFormat/>
    <w:rsid w:val="00746F5B"/>
    <w:pPr>
      <w:spacing w:after="200" w:line="276" w:lineRule="auto"/>
      <w:ind w:left="720"/>
      <w:contextualSpacing/>
    </w:pPr>
    <w:rPr>
      <w:rFonts w:ascii="Calibri" w:eastAsia="SimSun" w:hAnsi="Calibri" w:cs="Arial"/>
      <w:lang w:eastAsia="es-MX"/>
    </w:rPr>
  </w:style>
  <w:style w:type="character" w:customStyle="1" w:styleId="Cuadrculamedia1-nfasis2Car">
    <w:name w:val="Cuadrícula media 1 - Énfasis 2 Car"/>
    <w:aliases w:val="Dot pt Car,List Paragraph1 Car,Colorful List - Accent 11 Car,No Spacing1 Car,List Paragraph Char Char Char Car,Indicator Text Car,Numbered Para 1 Car,Bullet 1 Car,F5 List Paragraph Car,Bullet Points Car,Normal Fv Car"/>
    <w:basedOn w:val="DefaultParagraphFont"/>
    <w:link w:val="Cuadrculamedia1-nfasis21"/>
    <w:uiPriority w:val="34"/>
    <w:qFormat/>
    <w:locked/>
    <w:rsid w:val="00746F5B"/>
    <w:rPr>
      <w:rFonts w:ascii="Calibri" w:eastAsia="SimSun" w:hAnsi="Calibri"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854</Words>
  <Characters>4874</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Ornela GR</dc:creator>
  <cp:lastModifiedBy>Carmel Rawhani</cp:lastModifiedBy>
  <cp:revision>3</cp:revision>
  <dcterms:created xsi:type="dcterms:W3CDTF">2016-11-25T07:52:00Z</dcterms:created>
  <dcterms:modified xsi:type="dcterms:W3CDTF">2016-11-25T08:00:00Z</dcterms:modified>
</cp:coreProperties>
</file>